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黑体" w:hAnsi="黑体" w:eastAsia="黑体"/>
                <w:sz w:val="21"/>
                <w:szCs w:val="21"/>
              </w:rPr>
              <w:t xml:space="preserve">ICS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bookmarkStart w:id="0" w:name="ICS"/>
            <w:r>
              <w:rPr>
                <w:rFonts w:ascii="黑体" w:hAnsi="黑体" w:eastAsia="黑体"/>
                <w:sz w:val="21"/>
                <w:szCs w:val="21"/>
              </w:rPr>
              <w:fldChar w:fldCharType="begin">
                <w:ffData>
                  <w:name w:val="ICS"/>
                  <w:enabled/>
                  <w:calcOnExit w:val="0"/>
                  <w:textInput>
                    <w:default w:val="31.030"/>
                  </w:textInput>
                </w:ffData>
              </w:fldChar>
            </w:r>
            <w:r>
              <w:rPr>
                <w:rFonts w:ascii="黑体" w:hAnsi="黑体" w:eastAsia="黑体"/>
                <w:sz w:val="21"/>
                <w:szCs w:val="21"/>
              </w:rPr>
              <w:instrText xml:space="preserve">FORMTEXT</w:instrText>
            </w:r>
            <w:r>
              <w:rPr>
                <w:rFonts w:ascii="黑体" w:hAnsi="黑体" w:eastAsia="黑体"/>
                <w:sz w:val="21"/>
                <w:szCs w:val="21"/>
              </w:rPr>
              <w:fldChar w:fldCharType="separate"/>
            </w:r>
            <w:r>
              <w:rPr>
                <w:rFonts w:ascii="黑体" w:hAnsi="黑体" w:eastAsia="黑体"/>
                <w:sz w:val="21"/>
                <w:szCs w:val="21"/>
              </w:rPr>
              <w:t>31.030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 xml:space="preserve">CCS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1"/>
                    <w:framePr w:wrap="notBeside" w:vAnchor="page" w:hAnchor="page" w:x="1372" w:y="568"/>
                    <w:ind w:left="420" w:right="624"/>
                    <w:rPr>
                      <w:rFonts w:ascii="黑体" w:hAnsi="黑体" w:eastAsia="黑体"/>
                      <w:sz w:val="28"/>
                      <w:szCs w:val="28"/>
                    </w:rPr>
                  </w:pPr>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ascii="黑体" w:hAnsi="黑体" w:eastAsia="黑体"/>
                <w:sz w:val="21"/>
                <w:szCs w:val="21"/>
              </w:rPr>
              <w:fldChar w:fldCharType="begin">
                <w:ffData>
                  <w:name w:val="CSDN"/>
                  <w:enabled/>
                  <w:calcOnExit w:val="0"/>
                  <w:textInput>
                    <w:default w:val="L90"/>
                  </w:textInput>
                </w:ffData>
              </w:fldChar>
            </w:r>
            <w:r>
              <w:rPr>
                <w:rFonts w:ascii="黑体" w:hAnsi="黑体" w:eastAsia="黑体"/>
                <w:sz w:val="21"/>
                <w:szCs w:val="21"/>
              </w:rPr>
              <w:instrText xml:space="preserve">FORMTEXT</w:instrText>
            </w:r>
            <w:r>
              <w:rPr>
                <w:rFonts w:ascii="黑体" w:hAnsi="黑体" w:eastAsia="黑体"/>
                <w:sz w:val="21"/>
                <w:szCs w:val="21"/>
              </w:rPr>
              <w:fldChar w:fldCharType="separate"/>
            </w:r>
            <w:r>
              <w:rPr>
                <w:rFonts w:ascii="黑体" w:hAnsi="黑体" w:eastAsia="黑体"/>
                <w:sz w:val="21"/>
                <w:szCs w:val="21"/>
              </w:rPr>
              <w:t>L90</w:t>
            </w:r>
            <w:r>
              <w:rPr>
                <w:rFonts w:ascii="黑体" w:hAnsi="黑体" w:eastAsia="黑体"/>
                <w:sz w:val="21"/>
                <w:szCs w:val="21"/>
              </w:rPr>
              <w:fldChar w:fldCharType="end"/>
            </w:r>
            <w:bookmarkEnd w:id="1"/>
          </w:p>
        </w:tc>
      </w:tr>
    </w:tbl>
    <w:p>
      <w:pPr>
        <w:pStyle w:val="52"/>
        <w:framePr w:w="9639" w:h="1054" w:hRule="exact" w:hSpace="181" w:vSpace="181" w:wrap="around" w:hAnchor="page" w:x="1305" w:y="2269"/>
        <w:spacing w:line="240" w:lineRule="auto"/>
        <w:ind w:right="817" w:rightChars="389"/>
        <w:rPr>
          <w:rFonts w:ascii="黑体" w:hAnsi="黑体" w:eastAsia="黑体"/>
          <w:b w:val="0"/>
          <w:bCs w:val="0"/>
          <w:w w:val="100"/>
          <w:sz w:val="84"/>
          <w:szCs w:val="84"/>
        </w:rPr>
      </w:pPr>
      <w:bookmarkStart w:id="2" w:name="_Hlk26473981"/>
      <w:r>
        <w:rPr>
          <w:rFonts w:hint="eastAsia" w:ascii="黑体" w:eastAsia="黑体"/>
          <w:b w:val="0"/>
          <w:w w:val="100"/>
          <w:sz w:val="84"/>
          <w:szCs w:val="84"/>
        </w:rPr>
        <w:t xml:space="preserve"> 团体</w:t>
      </w:r>
      <w:r>
        <w:rPr>
          <w:rFonts w:hint="eastAsia" w:ascii="黑体" w:hAnsi="黑体" w:eastAsia="黑体"/>
          <w:b w:val="0"/>
          <w:bCs w:val="0"/>
          <w:w w:val="100"/>
          <w:sz w:val="84"/>
          <w:szCs w:val="84"/>
        </w:rPr>
        <w:t xml:space="preserve">标准 </w:t>
      </w:r>
    </w:p>
    <w:bookmarkEnd w:id="2"/>
    <w:p>
      <w:pPr>
        <w:pStyle w:val="197"/>
        <w:framePr w:wrap="around" w:x="1431" w:y="3469"/>
      </w:pPr>
      <w:r>
        <w:t xml:space="preserve">T/CPIA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t>202X</w:t>
      </w:r>
    </w:p>
    <w:p>
      <w:pPr>
        <w:pStyle w:val="198"/>
        <w:framePr w:wrap="around" w:x="1431" w:y="3469"/>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bookmarkStart w:id="5" w:name="CSTD_NAME"/>
      <w:r>
        <w:fldChar w:fldCharType="begin">
          <w:ffData>
            <w:name w:val="CSTD_NAME"/>
            <w:enabled/>
            <w:calcOnExit w:val="0"/>
            <w:textInput>
              <w:default w:val="光伏组件封装用共挤胶膜"/>
            </w:textInput>
          </w:ffData>
        </w:fldChar>
      </w:r>
      <w:r>
        <w:instrText xml:space="preserve">FORMTEXT</w:instrText>
      </w:r>
      <w:r>
        <w:fldChar w:fldCharType="separate"/>
      </w:r>
      <w:r>
        <w:t>光伏组件封装用共挤胶膜</w:t>
      </w:r>
      <w:r>
        <w:fldChar w:fldCharType="end"/>
      </w:r>
      <w:bookmarkEnd w:id="5"/>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bookmarkStart w:id="6" w:name="ESTD_NAME"/>
      <w:r>
        <w:rPr>
          <w:rFonts w:hint="eastAsia" w:ascii="黑体" w:hAnsi="黑体" w:eastAsia="黑体" w:cs="黑体"/>
          <w:szCs w:val="28"/>
        </w:rPr>
        <w:fldChar w:fldCharType="begin">
          <w:ffData>
            <w:name w:val="ESTD_NAME"/>
            <w:enabled/>
            <w:calcOnExit w:val="0"/>
            <w:textInput>
              <w:default w:val="Co-extrusion encapsulant film for PV Module"/>
            </w:textInput>
          </w:ffData>
        </w:fldChar>
      </w:r>
      <w:r>
        <w:rPr>
          <w:rFonts w:hint="eastAsia" w:ascii="黑体" w:hAnsi="黑体" w:eastAsia="黑体" w:cs="黑体"/>
          <w:szCs w:val="28"/>
        </w:rPr>
        <w:instrText xml:space="preserve">FORMTEXT</w:instrText>
      </w:r>
      <w:r>
        <w:rPr>
          <w:rFonts w:hint="eastAsia" w:ascii="黑体" w:hAnsi="黑体" w:eastAsia="黑体" w:cs="黑体"/>
          <w:szCs w:val="28"/>
        </w:rPr>
        <w:fldChar w:fldCharType="separate"/>
      </w:r>
      <w:r>
        <w:rPr>
          <w:rFonts w:hint="eastAsia" w:ascii="黑体" w:hAnsi="黑体" w:eastAsia="黑体" w:cs="黑体"/>
          <w:szCs w:val="28"/>
        </w:rPr>
        <w:t>Co-extrusion encapsulant film for PV Module</w:t>
      </w:r>
      <w:r>
        <w:rPr>
          <w:rFonts w:hint="eastAsia" w:ascii="黑体" w:hAnsi="黑体" w:eastAsia="黑体" w:cs="黑体"/>
          <w:szCs w:val="28"/>
        </w:rPr>
        <w:fldChar w:fldCharType="end"/>
      </w:r>
      <w:bookmarkEnd w:id="6"/>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rFonts w:hint="eastAsia"/>
          <w:sz w:val="24"/>
          <w:szCs w:val="28"/>
        </w:rPr>
        <w:t>（征求意见稿）</w:t>
      </w:r>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7"/>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pPr>
        <w:pStyle w:val="195"/>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pPr>
        <w:pStyle w:val="153"/>
        <w:framePr w:h="584" w:hRule="exact" w:hSpace="181" w:vSpace="181" w:wrap="around" w:y="14800"/>
        <w:rPr>
          <w:rFonts w:hAnsi="黑体"/>
        </w:rPr>
      </w:pPr>
      <w:bookmarkStart w:id="15" w:name="fm"/>
      <w:r>
        <w:rPr>
          <w:rFonts w:hAnsi="黑体"/>
          <w:w w:val="100"/>
          <w:sz w:val="28"/>
        </w:rPr>
        <w:fldChar w:fldCharType="begin">
          <w:ffData>
            <w:name w:val="fm"/>
            <w:enabled/>
            <w:calcOnExit w:val="0"/>
            <w:textInput>
              <w:default w:val="中国光伏行业协会"/>
            </w:textInput>
          </w:ffData>
        </w:fldChar>
      </w:r>
      <w:r>
        <w:rPr>
          <w:rFonts w:hAnsi="黑体"/>
          <w:w w:val="100"/>
          <w:sz w:val="28"/>
        </w:rPr>
        <w:instrText xml:space="preserve">FORMTEXT</w:instrText>
      </w:r>
      <w:r>
        <w:rPr>
          <w:rFonts w:hAnsi="黑体"/>
          <w:w w:val="100"/>
          <w:sz w:val="28"/>
        </w:rPr>
        <w:fldChar w:fldCharType="separate"/>
      </w:r>
      <w:r>
        <w:rPr>
          <w:rFonts w:hAnsi="黑体"/>
          <w:w w:val="100"/>
          <w:sz w:val="28"/>
        </w:rPr>
        <w:t>中国光伏行业协会</w:t>
      </w:r>
      <w:r>
        <w:rPr>
          <w:rFonts w:hAnsi="黑体"/>
          <w:w w:val="100"/>
          <w:sz w:val="28"/>
        </w:rPr>
        <w:fldChar w:fldCharType="end"/>
      </w:r>
      <w:bookmarkEnd w:id="15"/>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pgBorders>
            <w:top w:val="none" w:sz="0" w:space="0"/>
            <w:left w:val="none" w:sz="0" w:space="0"/>
            <w:bottom w:val="none" w:sz="0" w:space="0"/>
            <w:right w:val="none" w:sz="0" w:space="0"/>
          </w:pgBorders>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spacing w:before="567" w:after="680" w:afterLines="0"/>
      </w:pPr>
      <w:bookmarkStart w:id="16" w:name="BookMark1"/>
      <w:bookmarkStart w:id="17" w:name="_Toc79504496"/>
      <w:bookmarkStart w:id="18" w:name="_Toc14189"/>
      <w:bookmarkStart w:id="19" w:name="_Toc79045634"/>
      <w:r>
        <w:rPr>
          <w:rFonts w:hint="eastAsia"/>
          <w:spacing w:val="320"/>
        </w:rPr>
        <w:t>目</w:t>
      </w:r>
      <w:r>
        <w:rPr>
          <w:rFonts w:hint="eastAsia"/>
        </w:rPr>
        <w:t>次</w:t>
      </w:r>
    </w:p>
    <w:p>
      <w:pPr>
        <w:pStyle w:val="20"/>
        <w:tabs>
          <w:tab w:val="right" w:leader="dot" w:pos="9354"/>
        </w:tabs>
        <w:spacing w:before="60" w:beforeLines="25" w:after="60" w:afterLines="25" w:line="240" w:lineRule="auto"/>
        <w:rPr>
          <w:rFonts w:hAnsi="宋体" w:cs="宋体"/>
        </w:rPr>
      </w:pPr>
      <w:r>
        <w:rPr>
          <w:rFonts w:hint="eastAsia" w:hAnsi="宋体" w:cs="宋体"/>
        </w:rPr>
        <w:fldChar w:fldCharType="begin"/>
      </w:r>
      <w:r>
        <w:rPr>
          <w:rFonts w:hint="eastAsia" w:hAnsi="宋体" w:cs="宋体"/>
        </w:rPr>
        <w:instrText xml:space="preserve"> TOC \o "1-1" \h \t "标准文件_一级条标题,2,标准文件_附录一级条标题,2," </w:instrText>
      </w:r>
      <w:r>
        <w:rPr>
          <w:rFonts w:hint="eastAsia" w:hAnsi="宋体" w:cs="宋体"/>
        </w:rPr>
        <w:fldChar w:fldCharType="separate"/>
      </w:r>
      <w:r>
        <w:fldChar w:fldCharType="begin"/>
      </w:r>
      <w:r>
        <w:instrText xml:space="preserve"> HYPERLINK \l "_Toc26310" </w:instrText>
      </w:r>
      <w:r>
        <w:fldChar w:fldCharType="separate"/>
      </w:r>
      <w:r>
        <w:rPr>
          <w:rFonts w:hint="eastAsia" w:hAnsi="宋体" w:cs="宋体"/>
        </w:rPr>
        <w:t>前言</w:t>
      </w:r>
      <w:r>
        <w:rPr>
          <w:rFonts w:hint="eastAsia" w:hAnsi="宋体" w:cs="宋体"/>
        </w:rPr>
        <w:tab/>
      </w:r>
      <w:r>
        <w:rPr>
          <w:rFonts w:hint="eastAsia" w:hAnsi="宋体" w:cs="宋体"/>
        </w:rPr>
        <w:fldChar w:fldCharType="begin"/>
      </w:r>
      <w:r>
        <w:rPr>
          <w:rFonts w:hint="eastAsia" w:hAnsi="宋体" w:cs="宋体"/>
        </w:rPr>
        <w:instrText xml:space="preserve"> PAGEREF _Toc26310 \h </w:instrText>
      </w:r>
      <w:r>
        <w:rPr>
          <w:rFonts w:hint="eastAsia" w:hAnsi="宋体" w:cs="宋体"/>
        </w:rPr>
        <w:fldChar w:fldCharType="separate"/>
      </w:r>
      <w:r>
        <w:rPr>
          <w:rFonts w:hint="eastAsia" w:hAnsi="宋体" w:cs="宋体"/>
        </w:rPr>
        <w:t>III</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"_Toc21759" </w:instrText>
      </w:r>
      <w:r>
        <w:fldChar w:fldCharType="separate"/>
      </w:r>
      <w:r>
        <w:rPr>
          <w:rFonts w:hint="eastAsia" w:hAnsi="宋体" w:cs="宋体"/>
        </w:rPr>
        <w:t>1  范围</w:t>
      </w:r>
      <w:r>
        <w:rPr>
          <w:rFonts w:hint="eastAsia" w:hAnsi="宋体" w:cs="宋体"/>
        </w:rPr>
        <w:tab/>
      </w:r>
      <w:r>
        <w:rPr>
          <w:rFonts w:hint="eastAsia" w:hAnsi="宋体" w:cs="宋体"/>
        </w:rPr>
        <w:fldChar w:fldCharType="begin"/>
      </w:r>
      <w:r>
        <w:rPr>
          <w:rFonts w:hint="eastAsia" w:hAnsi="宋体" w:cs="宋体"/>
        </w:rPr>
        <w:instrText xml:space="preserve"> PAGEREF _Toc21759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"_Toc1318" </w:instrText>
      </w:r>
      <w:r>
        <w:fldChar w:fldCharType="separate"/>
      </w:r>
      <w:r>
        <w:rPr>
          <w:rFonts w:hint="eastAsia" w:hAnsi="宋体" w:cs="宋体"/>
        </w:rPr>
        <w:t>2  规范性引用文件</w:t>
      </w:r>
      <w:r>
        <w:rPr>
          <w:rFonts w:hint="eastAsia" w:hAnsi="宋体" w:cs="宋体"/>
        </w:rPr>
        <w:tab/>
      </w:r>
      <w:r>
        <w:rPr>
          <w:rFonts w:hint="eastAsia" w:hAnsi="宋体" w:cs="宋体"/>
        </w:rPr>
        <w:fldChar w:fldCharType="begin"/>
      </w:r>
      <w:r>
        <w:rPr>
          <w:rFonts w:hint="eastAsia" w:hAnsi="宋体" w:cs="宋体"/>
        </w:rPr>
        <w:instrText xml:space="preserve"> PAGEREF _Toc1318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"_Toc10799" </w:instrText>
      </w:r>
      <w:r>
        <w:fldChar w:fldCharType="separate"/>
      </w:r>
      <w:r>
        <w:rPr>
          <w:rFonts w:hint="eastAsia" w:hAnsi="宋体" w:cs="宋体"/>
        </w:rPr>
        <w:t>3  术语和定义</w:t>
      </w:r>
      <w:r>
        <w:rPr>
          <w:rFonts w:hint="eastAsia" w:hAnsi="宋体" w:cs="宋体"/>
        </w:rPr>
        <w:tab/>
      </w:r>
      <w:r>
        <w:rPr>
          <w:rFonts w:hint="eastAsia" w:hAnsi="宋体" w:cs="宋体"/>
        </w:rPr>
        <w:fldChar w:fldCharType="begin"/>
      </w:r>
      <w:r>
        <w:rPr>
          <w:rFonts w:hint="eastAsia" w:hAnsi="宋体" w:cs="宋体"/>
        </w:rPr>
        <w:instrText xml:space="preserve"> PAGEREF _Toc10799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"_Toc26826" </w:instrText>
      </w:r>
      <w:r>
        <w:fldChar w:fldCharType="separate"/>
      </w:r>
      <w:r>
        <w:rPr>
          <w:rFonts w:hint="eastAsia" w:hAnsi="宋体" w:cs="宋体"/>
        </w:rPr>
        <w:t>4  要求</w:t>
      </w:r>
      <w:r>
        <w:rPr>
          <w:rFonts w:hint="eastAsia" w:hAnsi="宋体" w:cs="宋体"/>
        </w:rPr>
        <w:tab/>
      </w:r>
      <w:r>
        <w:rPr>
          <w:rFonts w:hint="eastAsia" w:hAnsi="宋体" w:cs="宋体"/>
        </w:rPr>
        <w:fldChar w:fldCharType="begin"/>
      </w:r>
      <w:r>
        <w:rPr>
          <w:rFonts w:hint="eastAsia" w:hAnsi="宋体" w:cs="宋体"/>
        </w:rPr>
        <w:instrText xml:space="preserve"> PAGEREF _Toc26826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"_Toc31046" </w:instrText>
      </w:r>
      <w:r>
        <w:fldChar w:fldCharType="separate"/>
      </w:r>
      <w:r>
        <w:rPr>
          <w:rFonts w:hint="eastAsia" w:hAnsi="宋体" w:cs="宋体"/>
          <w:kern w:val="0"/>
          <w14:scene3d>
            <w14:lightRig w14:rig="threePt" w14:dir="t">
              <w14:rot w14:lat="0" w14:lon="0" w14:rev="0"/>
            </w14:lightRig>
          </w14:scene3d>
        </w:rPr>
        <w:t xml:space="preserve">4.1  </w:t>
      </w:r>
      <w:r>
        <w:rPr>
          <w:rFonts w:hint="eastAsia" w:hAnsi="宋体" w:cs="宋体"/>
        </w:rPr>
        <w:t>规格及偏差</w:t>
      </w:r>
      <w:r>
        <w:rPr>
          <w:rFonts w:hint="eastAsia" w:hAnsi="宋体" w:cs="宋体"/>
        </w:rPr>
        <w:tab/>
      </w:r>
      <w:r>
        <w:rPr>
          <w:rFonts w:hint="eastAsia" w:hAnsi="宋体" w:cs="宋体"/>
        </w:rPr>
        <w:fldChar w:fldCharType="begin"/>
      </w:r>
      <w:r>
        <w:rPr>
          <w:rFonts w:hint="eastAsia" w:hAnsi="宋体" w:cs="宋体"/>
        </w:rPr>
        <w:instrText xml:space="preserve"> PAGEREF _Toc31046 \h </w:instrText>
      </w:r>
      <w:r>
        <w:rPr>
          <w:rFonts w:hint="eastAsia" w:hAnsi="宋体" w:cs="宋体"/>
        </w:rPr>
        <w:fldChar w:fldCharType="separate"/>
      </w:r>
      <w:r>
        <w:rPr>
          <w:rFonts w:hint="eastAsia" w:hAnsi="宋体" w:cs="宋体"/>
        </w:rPr>
        <w:t>1</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"_Toc8859" </w:instrText>
      </w:r>
      <w:r>
        <w:fldChar w:fldCharType="separate"/>
      </w:r>
      <w:r>
        <w:rPr>
          <w:rFonts w:hint="eastAsia" w:hAnsi="宋体" w:cs="宋体"/>
          <w:kern w:val="0"/>
          <w14:scene3d>
            <w14:lightRig w14:rig="threePt" w14:dir="t">
              <w14:rot w14:lat="0" w14:lon="0" w14:rev="0"/>
            </w14:lightRig>
          </w14:scene3d>
        </w:rPr>
        <w:t xml:space="preserve">4.2  </w:t>
      </w:r>
      <w:r>
        <w:rPr>
          <w:rFonts w:hint="eastAsia" w:hAnsi="宋体" w:cs="宋体"/>
        </w:rPr>
        <w:t>外观</w:t>
      </w:r>
      <w:r>
        <w:rPr>
          <w:rFonts w:hint="eastAsia" w:hAnsi="宋体" w:cs="宋体"/>
        </w:rPr>
        <w:tab/>
      </w:r>
      <w:r>
        <w:rPr>
          <w:rFonts w:hint="eastAsia" w:hAnsi="宋体" w:cs="宋体"/>
        </w:rPr>
        <w:fldChar w:fldCharType="begin"/>
      </w:r>
      <w:r>
        <w:rPr>
          <w:rFonts w:hint="eastAsia" w:hAnsi="宋体" w:cs="宋体"/>
        </w:rPr>
        <w:instrText xml:space="preserve"> PAGEREF _Toc8859 \h </w:instrText>
      </w:r>
      <w:r>
        <w:rPr>
          <w:rFonts w:hint="eastAsia" w:hAnsi="宋体" w:cs="宋体"/>
        </w:rPr>
        <w:fldChar w:fldCharType="separate"/>
      </w:r>
      <w:r>
        <w:rPr>
          <w:rFonts w:hint="eastAsia" w:hAnsi="宋体" w:cs="宋体"/>
        </w:rPr>
        <w:t>2</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"_Toc5930" </w:instrText>
      </w:r>
      <w:r>
        <w:fldChar w:fldCharType="separate"/>
      </w:r>
      <w:r>
        <w:rPr>
          <w:rFonts w:hint="eastAsia" w:hAnsi="宋体" w:cs="宋体"/>
          <w:kern w:val="0"/>
          <w14:scene3d>
            <w14:lightRig w14:rig="threePt" w14:dir="t">
              <w14:rot w14:lat="0" w14:lon="0" w14:rev="0"/>
            </w14:lightRig>
          </w14:scene3d>
        </w:rPr>
        <w:t xml:space="preserve">4.3  </w:t>
      </w:r>
      <w:r>
        <w:rPr>
          <w:rFonts w:hint="eastAsia" w:hAnsi="宋体" w:cs="宋体"/>
        </w:rPr>
        <w:t>物理性能</w:t>
      </w:r>
      <w:r>
        <w:rPr>
          <w:rFonts w:hint="eastAsia" w:hAnsi="宋体" w:cs="宋体"/>
        </w:rPr>
        <w:tab/>
      </w:r>
      <w:r>
        <w:rPr>
          <w:rFonts w:hint="eastAsia" w:hAnsi="宋体" w:cs="宋体"/>
        </w:rPr>
        <w:fldChar w:fldCharType="begin"/>
      </w:r>
      <w:r>
        <w:rPr>
          <w:rFonts w:hint="eastAsia" w:hAnsi="宋体" w:cs="宋体"/>
        </w:rPr>
        <w:instrText xml:space="preserve"> PAGEREF _Toc5930 \h </w:instrText>
      </w:r>
      <w:r>
        <w:rPr>
          <w:rFonts w:hint="eastAsia" w:hAnsi="宋体" w:cs="宋体"/>
        </w:rPr>
        <w:fldChar w:fldCharType="separate"/>
      </w:r>
      <w:r>
        <w:rPr>
          <w:rFonts w:hint="eastAsia" w:hAnsi="宋体" w:cs="宋体"/>
        </w:rPr>
        <w:t>2</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"_Toc9476" </w:instrText>
      </w:r>
      <w:r>
        <w:fldChar w:fldCharType="separate"/>
      </w:r>
      <w:r>
        <w:rPr>
          <w:rFonts w:hint="eastAsia" w:hAnsi="宋体" w:cs="宋体"/>
        </w:rPr>
        <w:t>5  试验方法</w:t>
      </w:r>
      <w:r>
        <w:rPr>
          <w:rFonts w:hint="eastAsia" w:hAnsi="宋体" w:cs="宋体"/>
        </w:rPr>
        <w:tab/>
      </w:r>
      <w:r>
        <w:rPr>
          <w:rFonts w:hint="eastAsia" w:hAnsi="宋体" w:cs="宋体"/>
        </w:rPr>
        <w:fldChar w:fldCharType="begin"/>
      </w:r>
      <w:r>
        <w:rPr>
          <w:rFonts w:hint="eastAsia" w:hAnsi="宋体" w:cs="宋体"/>
        </w:rPr>
        <w:instrText xml:space="preserve"> PAGEREF _Toc9476 \h </w:instrText>
      </w:r>
      <w:r>
        <w:rPr>
          <w:rFonts w:hint="eastAsia" w:hAnsi="宋体" w:cs="宋体"/>
        </w:rPr>
        <w:fldChar w:fldCharType="separate"/>
      </w:r>
      <w:r>
        <w:rPr>
          <w:rFonts w:hint="eastAsia" w:hAnsi="宋体" w:cs="宋体"/>
        </w:rPr>
        <w:t>3</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"_Toc16720" </w:instrText>
      </w:r>
      <w:r>
        <w:fldChar w:fldCharType="separate"/>
      </w:r>
      <w:r>
        <w:rPr>
          <w:rFonts w:hint="eastAsia" w:hAnsi="宋体" w:cs="宋体"/>
          <w:kern w:val="0"/>
          <w14:scene3d>
            <w14:lightRig w14:rig="threePt" w14:dir="t">
              <w14:rot w14:lat="0" w14:lon="0" w14:rev="0"/>
            </w14:lightRig>
          </w14:scene3d>
        </w:rPr>
        <w:t xml:space="preserve">5.1  </w:t>
      </w:r>
      <w:r>
        <w:rPr>
          <w:rFonts w:hint="eastAsia" w:hAnsi="宋体" w:cs="宋体"/>
        </w:rPr>
        <w:t>取样方法</w:t>
      </w:r>
      <w:r>
        <w:rPr>
          <w:rFonts w:hint="eastAsia" w:hAnsi="宋体" w:cs="宋体"/>
        </w:rPr>
        <w:tab/>
      </w:r>
      <w:r>
        <w:rPr>
          <w:rFonts w:hint="eastAsia" w:hAnsi="宋体" w:cs="宋体"/>
        </w:rPr>
        <w:fldChar w:fldCharType="begin"/>
      </w:r>
      <w:r>
        <w:rPr>
          <w:rFonts w:hint="eastAsia" w:hAnsi="宋体" w:cs="宋体"/>
        </w:rPr>
        <w:instrText xml:space="preserve"> PAGEREF _Toc16720 \h </w:instrText>
      </w:r>
      <w:r>
        <w:rPr>
          <w:rFonts w:hint="eastAsia" w:hAnsi="宋体" w:cs="宋体"/>
        </w:rPr>
        <w:fldChar w:fldCharType="separate"/>
      </w:r>
      <w:r>
        <w:rPr>
          <w:rFonts w:hint="eastAsia" w:hAnsi="宋体" w:cs="宋体"/>
        </w:rPr>
        <w:t>3</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"_Toc16782" </w:instrText>
      </w:r>
      <w:r>
        <w:fldChar w:fldCharType="separate"/>
      </w:r>
      <w:r>
        <w:rPr>
          <w:rFonts w:hint="eastAsia" w:hAnsi="宋体" w:cs="宋体"/>
          <w:kern w:val="0"/>
          <w14:scene3d>
            <w14:lightRig w14:rig="threePt" w14:dir="t">
              <w14:rot w14:lat="0" w14:lon="0" w14:rev="0"/>
            </w14:lightRig>
          </w14:scene3d>
        </w:rPr>
        <w:t xml:space="preserve">5.2  </w:t>
      </w:r>
      <w:r>
        <w:rPr>
          <w:rFonts w:hint="eastAsia" w:hAnsi="宋体" w:cs="宋体"/>
        </w:rPr>
        <w:t>试验条件</w:t>
      </w:r>
      <w:r>
        <w:rPr>
          <w:rFonts w:hint="eastAsia" w:hAnsi="宋体" w:cs="宋体"/>
        </w:rPr>
        <w:tab/>
      </w:r>
      <w:r>
        <w:rPr>
          <w:rFonts w:hint="eastAsia" w:hAnsi="宋体" w:cs="宋体"/>
        </w:rPr>
        <w:fldChar w:fldCharType="begin"/>
      </w:r>
      <w:r>
        <w:rPr>
          <w:rFonts w:hint="eastAsia" w:hAnsi="宋体" w:cs="宋体"/>
        </w:rPr>
        <w:instrText xml:space="preserve"> PAGEREF _Toc16782 \h </w:instrText>
      </w:r>
      <w:r>
        <w:rPr>
          <w:rFonts w:hint="eastAsia" w:hAnsi="宋体" w:cs="宋体"/>
        </w:rPr>
        <w:fldChar w:fldCharType="separate"/>
      </w:r>
      <w:r>
        <w:rPr>
          <w:rFonts w:hint="eastAsia" w:hAnsi="宋体" w:cs="宋体"/>
        </w:rPr>
        <w:t>3</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"_Toc3421" </w:instrText>
      </w:r>
      <w:r>
        <w:fldChar w:fldCharType="separate"/>
      </w:r>
      <w:r>
        <w:rPr>
          <w:rFonts w:hint="eastAsia" w:hAnsi="宋体" w:cs="宋体"/>
          <w:kern w:val="0"/>
          <w14:scene3d>
            <w14:lightRig w14:rig="threePt" w14:dir="t">
              <w14:rot w14:lat="0" w14:lon="0" w14:rev="0"/>
            </w14:lightRig>
          </w14:scene3d>
        </w:rPr>
        <w:t xml:space="preserve">5.3  </w:t>
      </w:r>
      <w:r>
        <w:rPr>
          <w:rFonts w:hint="eastAsia" w:hAnsi="宋体" w:cs="宋体"/>
        </w:rPr>
        <w:t>规格及偏差的测定</w:t>
      </w:r>
      <w:r>
        <w:rPr>
          <w:rFonts w:hint="eastAsia" w:hAnsi="宋体" w:cs="宋体"/>
        </w:rPr>
        <w:tab/>
      </w:r>
      <w:r>
        <w:rPr>
          <w:rFonts w:hint="eastAsia" w:hAnsi="宋体" w:cs="宋体"/>
        </w:rPr>
        <w:fldChar w:fldCharType="begin"/>
      </w:r>
      <w:r>
        <w:rPr>
          <w:rFonts w:hint="eastAsia" w:hAnsi="宋体" w:cs="宋体"/>
        </w:rPr>
        <w:instrText xml:space="preserve"> PAGEREF _Toc3421 \h </w:instrText>
      </w:r>
      <w:r>
        <w:rPr>
          <w:rFonts w:hint="eastAsia" w:hAnsi="宋体" w:cs="宋体"/>
        </w:rPr>
        <w:fldChar w:fldCharType="separate"/>
      </w:r>
      <w:r>
        <w:rPr>
          <w:rFonts w:hint="eastAsia" w:hAnsi="宋体" w:cs="宋体"/>
        </w:rPr>
        <w:t>3</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"_Toc8325" </w:instrText>
      </w:r>
      <w:r>
        <w:fldChar w:fldCharType="separate"/>
      </w:r>
      <w:r>
        <w:rPr>
          <w:rFonts w:hint="eastAsia" w:hAnsi="宋体" w:cs="宋体"/>
          <w:kern w:val="0"/>
          <w14:scene3d>
            <w14:lightRig w14:rig="threePt" w14:dir="t">
              <w14:rot w14:lat="0" w14:lon="0" w14:rev="0"/>
            </w14:lightRig>
          </w14:scene3d>
        </w:rPr>
        <w:t xml:space="preserve">5.4  </w:t>
      </w:r>
      <w:r>
        <w:rPr>
          <w:rFonts w:hint="eastAsia" w:hAnsi="宋体" w:cs="宋体"/>
        </w:rPr>
        <w:t>外观</w:t>
      </w:r>
      <w:r>
        <w:rPr>
          <w:rFonts w:hint="eastAsia" w:hAnsi="宋体" w:cs="宋体"/>
        </w:rPr>
        <w:tab/>
      </w:r>
      <w:r>
        <w:rPr>
          <w:rFonts w:hint="eastAsia" w:hAnsi="宋体" w:cs="宋体"/>
        </w:rPr>
        <w:fldChar w:fldCharType="begin"/>
      </w:r>
      <w:r>
        <w:rPr>
          <w:rFonts w:hint="eastAsia" w:hAnsi="宋体" w:cs="宋体"/>
        </w:rPr>
        <w:instrText xml:space="preserve"> PAGEREF _Toc8325 \h </w:instrText>
      </w:r>
      <w:r>
        <w:rPr>
          <w:rFonts w:hint="eastAsia" w:hAnsi="宋体" w:cs="宋体"/>
        </w:rPr>
        <w:fldChar w:fldCharType="separate"/>
      </w:r>
      <w:r>
        <w:rPr>
          <w:rFonts w:hint="eastAsia" w:hAnsi="宋体" w:cs="宋体"/>
        </w:rPr>
        <w:t>4</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"_Toc11971" </w:instrText>
      </w:r>
      <w:r>
        <w:fldChar w:fldCharType="separate"/>
      </w:r>
      <w:r>
        <w:rPr>
          <w:rFonts w:hint="eastAsia" w:hAnsi="宋体" w:cs="宋体"/>
          <w:kern w:val="0"/>
          <w14:scene3d>
            <w14:lightRig w14:rig="threePt" w14:dir="t">
              <w14:rot w14:lat="0" w14:lon="0" w14:rev="0"/>
            </w14:lightRig>
          </w14:scene3d>
        </w:rPr>
        <w:t xml:space="preserve">5.5  </w:t>
      </w:r>
      <w:r>
        <w:rPr>
          <w:rFonts w:hint="eastAsia" w:hAnsi="宋体" w:cs="宋体"/>
        </w:rPr>
        <w:t>物理性能的测定</w:t>
      </w:r>
      <w:r>
        <w:rPr>
          <w:rFonts w:hint="eastAsia" w:hAnsi="宋体" w:cs="宋体"/>
        </w:rPr>
        <w:tab/>
      </w:r>
      <w:r>
        <w:rPr>
          <w:rFonts w:hint="eastAsia" w:hAnsi="宋体" w:cs="宋体"/>
        </w:rPr>
        <w:fldChar w:fldCharType="begin"/>
      </w:r>
      <w:r>
        <w:rPr>
          <w:rFonts w:hint="eastAsia" w:hAnsi="宋体" w:cs="宋体"/>
        </w:rPr>
        <w:instrText xml:space="preserve"> PAGEREF _Toc11971 \h </w:instrText>
      </w:r>
      <w:r>
        <w:rPr>
          <w:rFonts w:hint="eastAsia" w:hAnsi="宋体" w:cs="宋体"/>
        </w:rPr>
        <w:fldChar w:fldCharType="separate"/>
      </w:r>
      <w:r>
        <w:rPr>
          <w:rFonts w:hint="eastAsia" w:hAnsi="宋体" w:cs="宋体"/>
        </w:rPr>
        <w:t>4</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"_Toc27293" </w:instrText>
      </w:r>
      <w:r>
        <w:fldChar w:fldCharType="separate"/>
      </w:r>
      <w:r>
        <w:rPr>
          <w:rFonts w:hint="eastAsia" w:hAnsi="宋体" w:cs="宋体"/>
        </w:rPr>
        <w:t>6  检验规则</w:t>
      </w:r>
      <w:r>
        <w:rPr>
          <w:rFonts w:hint="eastAsia" w:hAnsi="宋体" w:cs="宋体"/>
        </w:rPr>
        <w:tab/>
      </w:r>
      <w:r>
        <w:rPr>
          <w:rFonts w:hint="eastAsia" w:hAnsi="宋体" w:cs="宋体"/>
        </w:rPr>
        <w:fldChar w:fldCharType="begin"/>
      </w:r>
      <w:r>
        <w:rPr>
          <w:rFonts w:hint="eastAsia" w:hAnsi="宋体" w:cs="宋体"/>
        </w:rPr>
        <w:instrText xml:space="preserve"> PAGEREF _Toc27293 \h </w:instrText>
      </w:r>
      <w:r>
        <w:rPr>
          <w:rFonts w:hint="eastAsia" w:hAnsi="宋体" w:cs="宋体"/>
        </w:rPr>
        <w:fldChar w:fldCharType="separate"/>
      </w:r>
      <w:r>
        <w:rPr>
          <w:rFonts w:hint="eastAsia" w:hAnsi="宋体" w:cs="宋体"/>
        </w:rPr>
        <w:t>10</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"_Toc2624" </w:instrText>
      </w:r>
      <w:r>
        <w:fldChar w:fldCharType="separate"/>
      </w:r>
      <w:r>
        <w:rPr>
          <w:rFonts w:hint="eastAsia" w:hAnsi="宋体" w:cs="宋体"/>
          <w:kern w:val="0"/>
          <w14:scene3d>
            <w14:lightRig w14:rig="threePt" w14:dir="t">
              <w14:rot w14:lat="0" w14:lon="0" w14:rev="0"/>
            </w14:lightRig>
          </w14:scene3d>
        </w:rPr>
        <w:t xml:space="preserve">6.1  </w:t>
      </w:r>
      <w:r>
        <w:rPr>
          <w:rFonts w:hint="eastAsia" w:hAnsi="宋体" w:cs="宋体"/>
        </w:rPr>
        <w:t>出厂检验</w:t>
      </w:r>
      <w:r>
        <w:rPr>
          <w:rFonts w:hint="eastAsia" w:hAnsi="宋体" w:cs="宋体"/>
        </w:rPr>
        <w:tab/>
      </w:r>
      <w:r>
        <w:rPr>
          <w:rFonts w:hint="eastAsia" w:hAnsi="宋体" w:cs="宋体"/>
        </w:rPr>
        <w:fldChar w:fldCharType="begin"/>
      </w:r>
      <w:r>
        <w:rPr>
          <w:rFonts w:hint="eastAsia" w:hAnsi="宋体" w:cs="宋体"/>
        </w:rPr>
        <w:instrText xml:space="preserve"> PAGEREF _Toc2624 \h </w:instrText>
      </w:r>
      <w:r>
        <w:rPr>
          <w:rFonts w:hint="eastAsia" w:hAnsi="宋体" w:cs="宋体"/>
        </w:rPr>
        <w:fldChar w:fldCharType="separate"/>
      </w:r>
      <w:r>
        <w:rPr>
          <w:rFonts w:hint="eastAsia" w:hAnsi="宋体" w:cs="宋体"/>
        </w:rPr>
        <w:t>10</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"_Toc23797" </w:instrText>
      </w:r>
      <w:r>
        <w:fldChar w:fldCharType="separate"/>
      </w:r>
      <w:r>
        <w:rPr>
          <w:rFonts w:hint="eastAsia" w:hAnsi="宋体" w:cs="宋体"/>
          <w:kern w:val="0"/>
          <w14:scene3d>
            <w14:lightRig w14:rig="threePt" w14:dir="t">
              <w14:rot w14:lat="0" w14:lon="0" w14:rev="0"/>
            </w14:lightRig>
          </w14:scene3d>
        </w:rPr>
        <w:t xml:space="preserve">6.2  </w:t>
      </w:r>
      <w:r>
        <w:rPr>
          <w:rFonts w:hint="eastAsia" w:hAnsi="宋体" w:cs="宋体"/>
        </w:rPr>
        <w:t>型式试验</w:t>
      </w:r>
      <w:r>
        <w:rPr>
          <w:rFonts w:hint="eastAsia" w:hAnsi="宋体" w:cs="宋体"/>
        </w:rPr>
        <w:tab/>
      </w:r>
      <w:r>
        <w:rPr>
          <w:rFonts w:hint="eastAsia" w:hAnsi="宋体" w:cs="宋体"/>
        </w:rPr>
        <w:fldChar w:fldCharType="begin"/>
      </w:r>
      <w:r>
        <w:rPr>
          <w:rFonts w:hint="eastAsia" w:hAnsi="宋体" w:cs="宋体"/>
        </w:rPr>
        <w:instrText xml:space="preserve"> PAGEREF _Toc23797 \h </w:instrText>
      </w:r>
      <w:r>
        <w:rPr>
          <w:rFonts w:hint="eastAsia" w:hAnsi="宋体" w:cs="宋体"/>
        </w:rPr>
        <w:fldChar w:fldCharType="separate"/>
      </w:r>
      <w:r>
        <w:rPr>
          <w:rFonts w:hint="eastAsia" w:hAnsi="宋体" w:cs="宋体"/>
        </w:rPr>
        <w:t>10</w:t>
      </w:r>
      <w:r>
        <w:rPr>
          <w:rFonts w:hint="eastAsia" w:hAnsi="宋体" w:cs="宋体"/>
        </w:rPr>
        <w:fldChar w:fldCharType="end"/>
      </w:r>
      <w:r>
        <w:rPr>
          <w:rFonts w:hint="eastAsia" w:hAnsi="宋体" w:cs="宋体"/>
        </w:rPr>
        <w:fldChar w:fldCharType="end"/>
      </w:r>
    </w:p>
    <w:p>
      <w:pPr>
        <w:pStyle w:val="20"/>
        <w:tabs>
          <w:tab w:val="right" w:leader="dot" w:pos="9354"/>
        </w:tabs>
        <w:spacing w:before="60" w:beforeLines="25" w:after="60" w:afterLines="25" w:line="240" w:lineRule="auto"/>
        <w:rPr>
          <w:rFonts w:hAnsi="宋体" w:cs="宋体"/>
        </w:rPr>
      </w:pPr>
      <w:r>
        <w:fldChar w:fldCharType="begin"/>
      </w:r>
      <w:r>
        <w:instrText xml:space="preserve"> HYPERLINK \l "_Toc3695" </w:instrText>
      </w:r>
      <w:r>
        <w:fldChar w:fldCharType="separate"/>
      </w:r>
      <w:r>
        <w:rPr>
          <w:rFonts w:hint="eastAsia" w:hAnsi="宋体" w:cs="宋体"/>
        </w:rPr>
        <w:t>7  包装、标志、运输和贮存</w:t>
      </w:r>
      <w:r>
        <w:rPr>
          <w:rFonts w:hint="eastAsia" w:hAnsi="宋体" w:cs="宋体"/>
        </w:rPr>
        <w:tab/>
      </w:r>
      <w:r>
        <w:rPr>
          <w:rFonts w:hint="eastAsia" w:hAnsi="宋体" w:cs="宋体"/>
        </w:rPr>
        <w:fldChar w:fldCharType="begin"/>
      </w:r>
      <w:r>
        <w:rPr>
          <w:rFonts w:hint="eastAsia" w:hAnsi="宋体" w:cs="宋体"/>
        </w:rPr>
        <w:instrText xml:space="preserve"> PAGEREF _Toc3695 \h </w:instrText>
      </w:r>
      <w:r>
        <w:rPr>
          <w:rFonts w:hint="eastAsia" w:hAnsi="宋体" w:cs="宋体"/>
        </w:rPr>
        <w:fldChar w:fldCharType="separate"/>
      </w:r>
      <w:r>
        <w:rPr>
          <w:rFonts w:hint="eastAsia" w:hAnsi="宋体" w:cs="宋体"/>
        </w:rPr>
        <w:t>10</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"_Toc483" </w:instrText>
      </w:r>
      <w:r>
        <w:fldChar w:fldCharType="separate"/>
      </w:r>
      <w:r>
        <w:rPr>
          <w:rFonts w:hint="eastAsia" w:hAnsi="宋体" w:cs="宋体"/>
          <w:kern w:val="0"/>
          <w14:scene3d>
            <w14:lightRig w14:rig="threePt" w14:dir="t">
              <w14:rot w14:lat="0" w14:lon="0" w14:rev="0"/>
            </w14:lightRig>
          </w14:scene3d>
        </w:rPr>
        <w:t xml:space="preserve">7.1  </w:t>
      </w:r>
      <w:r>
        <w:rPr>
          <w:rFonts w:hint="eastAsia" w:hAnsi="宋体" w:cs="宋体"/>
        </w:rPr>
        <w:t>包装</w:t>
      </w:r>
      <w:r>
        <w:rPr>
          <w:rFonts w:hint="eastAsia" w:hAnsi="宋体" w:cs="宋体"/>
        </w:rPr>
        <w:tab/>
      </w:r>
      <w:r>
        <w:rPr>
          <w:rFonts w:hint="eastAsia" w:hAnsi="宋体" w:cs="宋体"/>
        </w:rPr>
        <w:fldChar w:fldCharType="begin"/>
      </w:r>
      <w:r>
        <w:rPr>
          <w:rFonts w:hint="eastAsia" w:hAnsi="宋体" w:cs="宋体"/>
        </w:rPr>
        <w:instrText xml:space="preserve"> PAGEREF _Toc483 \h </w:instrText>
      </w:r>
      <w:r>
        <w:rPr>
          <w:rFonts w:hint="eastAsia" w:hAnsi="宋体" w:cs="宋体"/>
        </w:rPr>
        <w:fldChar w:fldCharType="separate"/>
      </w:r>
      <w:r>
        <w:rPr>
          <w:rFonts w:hint="eastAsia" w:hAnsi="宋体" w:cs="宋体"/>
        </w:rPr>
        <w:t>10</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"_Toc16845" </w:instrText>
      </w:r>
      <w:r>
        <w:fldChar w:fldCharType="separate"/>
      </w:r>
      <w:r>
        <w:rPr>
          <w:rFonts w:hint="eastAsia" w:hAnsi="宋体" w:cs="宋体"/>
          <w:kern w:val="0"/>
          <w14:scene3d>
            <w14:lightRig w14:rig="threePt" w14:dir="t">
              <w14:rot w14:lat="0" w14:lon="0" w14:rev="0"/>
            </w14:lightRig>
          </w14:scene3d>
        </w:rPr>
        <w:t xml:space="preserve">7.2  </w:t>
      </w:r>
      <w:r>
        <w:rPr>
          <w:rFonts w:hint="eastAsia" w:hAnsi="宋体" w:cs="宋体"/>
        </w:rPr>
        <w:t>标志</w:t>
      </w:r>
      <w:r>
        <w:rPr>
          <w:rFonts w:hint="eastAsia" w:hAnsi="宋体" w:cs="宋体"/>
        </w:rPr>
        <w:tab/>
      </w:r>
      <w:r>
        <w:rPr>
          <w:rFonts w:hint="eastAsia" w:hAnsi="宋体" w:cs="宋体"/>
        </w:rPr>
        <w:fldChar w:fldCharType="begin"/>
      </w:r>
      <w:r>
        <w:rPr>
          <w:rFonts w:hint="eastAsia" w:hAnsi="宋体" w:cs="宋体"/>
        </w:rPr>
        <w:instrText xml:space="preserve"> PAGEREF _Toc16845 \h </w:instrText>
      </w:r>
      <w:r>
        <w:rPr>
          <w:rFonts w:hint="eastAsia" w:hAnsi="宋体" w:cs="宋体"/>
        </w:rPr>
        <w:fldChar w:fldCharType="separate"/>
      </w:r>
      <w:r>
        <w:rPr>
          <w:rFonts w:hint="eastAsia" w:hAnsi="宋体" w:cs="宋体"/>
        </w:rPr>
        <w:t>10</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"_Toc23919" </w:instrText>
      </w:r>
      <w:r>
        <w:fldChar w:fldCharType="separate"/>
      </w:r>
      <w:r>
        <w:rPr>
          <w:rFonts w:hint="eastAsia" w:hAnsi="宋体" w:cs="宋体"/>
          <w:kern w:val="0"/>
          <w14:scene3d>
            <w14:lightRig w14:rig="threePt" w14:dir="t">
              <w14:rot w14:lat="0" w14:lon="0" w14:rev="0"/>
            </w14:lightRig>
          </w14:scene3d>
        </w:rPr>
        <w:t xml:space="preserve">7.3  </w:t>
      </w:r>
      <w:r>
        <w:rPr>
          <w:rFonts w:hint="eastAsia" w:hAnsi="宋体" w:cs="宋体"/>
        </w:rPr>
        <w:t>运输</w:t>
      </w:r>
      <w:r>
        <w:rPr>
          <w:rFonts w:hint="eastAsia" w:hAnsi="宋体" w:cs="宋体"/>
        </w:rPr>
        <w:tab/>
      </w:r>
      <w:r>
        <w:rPr>
          <w:rFonts w:hint="eastAsia" w:hAnsi="宋体" w:cs="宋体"/>
        </w:rPr>
        <w:fldChar w:fldCharType="begin"/>
      </w:r>
      <w:r>
        <w:rPr>
          <w:rFonts w:hint="eastAsia" w:hAnsi="宋体" w:cs="宋体"/>
        </w:rPr>
        <w:instrText xml:space="preserve"> PAGEREF _Toc23919 \h </w:instrText>
      </w:r>
      <w:r>
        <w:rPr>
          <w:rFonts w:hint="eastAsia" w:hAnsi="宋体" w:cs="宋体"/>
        </w:rPr>
        <w:fldChar w:fldCharType="separate"/>
      </w:r>
      <w:r>
        <w:rPr>
          <w:rFonts w:hint="eastAsia" w:hAnsi="宋体" w:cs="宋体"/>
        </w:rPr>
        <w:t>10</w:t>
      </w:r>
      <w:r>
        <w:rPr>
          <w:rFonts w:hint="eastAsia" w:hAnsi="宋体" w:cs="宋体"/>
        </w:rPr>
        <w:fldChar w:fldCharType="end"/>
      </w:r>
      <w:r>
        <w:rPr>
          <w:rFonts w:hint="eastAsia" w:hAnsi="宋体" w:cs="宋体"/>
        </w:rPr>
        <w:fldChar w:fldCharType="end"/>
      </w:r>
    </w:p>
    <w:p>
      <w:pPr>
        <w:pStyle w:val="25"/>
        <w:tabs>
          <w:tab w:val="right" w:leader="dot" w:pos="9354"/>
          <w:tab w:val="clear" w:pos="9344"/>
        </w:tabs>
        <w:spacing w:line="240" w:lineRule="auto"/>
        <w:rPr>
          <w:rFonts w:hAnsi="宋体" w:cs="宋体"/>
        </w:rPr>
      </w:pPr>
      <w:r>
        <w:fldChar w:fldCharType="begin"/>
      </w:r>
      <w:r>
        <w:instrText xml:space="preserve"> HYPERLINK \l "_Toc14806" </w:instrText>
      </w:r>
      <w:r>
        <w:fldChar w:fldCharType="separate"/>
      </w:r>
      <w:r>
        <w:rPr>
          <w:rFonts w:hint="eastAsia" w:hAnsi="宋体" w:cs="宋体"/>
          <w:kern w:val="0"/>
          <w14:scene3d>
            <w14:lightRig w14:rig="threePt" w14:dir="t">
              <w14:rot w14:lat="0" w14:lon="0" w14:rev="0"/>
            </w14:lightRig>
          </w14:scene3d>
        </w:rPr>
        <w:t xml:space="preserve">7.4  </w:t>
      </w:r>
      <w:r>
        <w:rPr>
          <w:rFonts w:hint="eastAsia" w:hAnsi="宋体" w:cs="宋体"/>
        </w:rPr>
        <w:t>贮存</w:t>
      </w:r>
      <w:r>
        <w:rPr>
          <w:rFonts w:hint="eastAsia" w:hAnsi="宋体" w:cs="宋体"/>
        </w:rPr>
        <w:tab/>
      </w:r>
      <w:r>
        <w:rPr>
          <w:rFonts w:hint="eastAsia" w:hAnsi="宋体" w:cs="宋体"/>
        </w:rPr>
        <w:fldChar w:fldCharType="begin"/>
      </w:r>
      <w:r>
        <w:rPr>
          <w:rFonts w:hint="eastAsia" w:hAnsi="宋体" w:cs="宋体"/>
        </w:rPr>
        <w:instrText xml:space="preserve"> PAGEREF _Toc14806 \h </w:instrText>
      </w:r>
      <w:r>
        <w:rPr>
          <w:rFonts w:hint="eastAsia" w:hAnsi="宋体" w:cs="宋体"/>
        </w:rPr>
        <w:fldChar w:fldCharType="separate"/>
      </w:r>
      <w:r>
        <w:rPr>
          <w:rFonts w:hint="eastAsia" w:hAnsi="宋体" w:cs="宋体"/>
        </w:rPr>
        <w:t>11</w:t>
      </w:r>
      <w:r>
        <w:rPr>
          <w:rFonts w:hint="eastAsia" w:hAnsi="宋体" w:cs="宋体"/>
        </w:rPr>
        <w:fldChar w:fldCharType="end"/>
      </w:r>
      <w:r>
        <w:rPr>
          <w:rFonts w:hint="eastAsia" w:hAnsi="宋体" w:cs="宋体"/>
        </w:rPr>
        <w:fldChar w:fldCharType="end"/>
      </w:r>
    </w:p>
    <w:p>
      <w:pPr>
        <w:pStyle w:val="93"/>
        <w:spacing w:after="0" w:afterLines="0"/>
        <w:sectPr>
          <w:headerReference r:id="rId9" w:type="default"/>
          <w:footerReference r:id="rId11" w:type="default"/>
          <w:headerReference r:id="rId10" w:type="even"/>
          <w:footerReference r:id="rId12" w:type="even"/>
          <w:pgSz w:w="11906" w:h="16838"/>
          <w:pgMar w:top="567"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r>
        <w:rPr>
          <w:rFonts w:hint="eastAsia" w:ascii="宋体" w:hAnsi="宋体" w:eastAsia="宋体" w:cs="宋体"/>
          <w:sz w:val="21"/>
        </w:rPr>
        <w:fldChar w:fldCharType="end"/>
      </w:r>
    </w:p>
    <w:bookmarkEnd w:id="16"/>
    <w:p>
      <w:pPr>
        <w:pStyle w:val="91"/>
        <w:spacing w:before="567" w:after="680" w:afterLines="0"/>
      </w:pPr>
      <w:bookmarkStart w:id="20" w:name="_Toc26310"/>
      <w:bookmarkStart w:id="21" w:name="BookMark2"/>
      <w:r>
        <w:rPr>
          <w:spacing w:val="320"/>
        </w:rPr>
        <w:t>前</w:t>
      </w:r>
      <w:r>
        <w:t>言</w:t>
      </w:r>
      <w:bookmarkEnd w:id="17"/>
      <w:bookmarkEnd w:id="18"/>
      <w:bookmarkEnd w:id="19"/>
      <w:bookmarkEnd w:id="20"/>
    </w:p>
    <w:p>
      <w:pPr>
        <w:pStyle w:val="58"/>
        <w:ind w:firstLine="420"/>
      </w:pPr>
      <w:r>
        <w:rPr>
          <w:rFonts w:hint="eastAsia"/>
        </w:rPr>
        <w:t>本文件按照GB/T 1.1—2020《标准化工作导则  第1部分：标准化文件的结构和起草规则》的规定起草。</w:t>
      </w:r>
    </w:p>
    <w:p>
      <w:pPr>
        <w:pStyle w:val="58"/>
        <w:ind w:firstLine="420"/>
      </w:pPr>
    </w:p>
    <w:p>
      <w:pPr>
        <w:pStyle w:val="58"/>
        <w:ind w:firstLine="420"/>
      </w:pPr>
      <w:r>
        <w:rPr>
          <w:rFonts w:hint="eastAsia"/>
        </w:rPr>
        <w:t>请注意本文件的某些内容可能涉及专利。本文件的发布机构不承担识别专利的责任。</w:t>
      </w:r>
    </w:p>
    <w:p>
      <w:pPr>
        <w:pStyle w:val="58"/>
        <w:ind w:firstLine="420"/>
      </w:pPr>
      <w:r>
        <w:rPr>
          <w:rFonts w:hint="eastAsia"/>
        </w:rPr>
        <w:t>本文件由中国光伏行业协会标准化技术委员会归口。</w:t>
      </w:r>
    </w:p>
    <w:p>
      <w:pPr>
        <w:pStyle w:val="58"/>
        <w:ind w:firstLine="420"/>
      </w:pPr>
      <w:r>
        <w:rPr>
          <w:rFonts w:hint="eastAsia"/>
        </w:rPr>
        <w:t>本文件起草单位：</w:t>
      </w:r>
    </w:p>
    <w:p>
      <w:pPr>
        <w:pStyle w:val="58"/>
        <w:ind w:firstLine="420"/>
      </w:pPr>
      <w:r>
        <w:rPr>
          <w:rFonts w:hint="eastAsia"/>
        </w:rPr>
        <w:t>本文件主要起草人：</w:t>
      </w:r>
    </w:p>
    <w:p>
      <w:pPr>
        <w:pStyle w:val="58"/>
        <w:ind w:firstLine="420"/>
      </w:pPr>
    </w:p>
    <w:p>
      <w:pPr>
        <w:pStyle w:val="58"/>
        <w:ind w:firstLine="420"/>
        <w:sectPr>
          <w:headerReference r:id="rId13" w:type="default"/>
          <w:footerReference r:id="rId15" w:type="default"/>
          <w:headerReference r:id="rId14" w:type="even"/>
          <w:footerReference r:id="rId16" w:type="even"/>
          <w:pgSz w:w="11906" w:h="16838"/>
          <w:pgMar w:top="567" w:right="1134" w:bottom="1134" w:left="1134" w:header="1418" w:footer="1134" w:gutter="284"/>
          <w:pgBorders>
            <w:top w:val="none" w:sz="0" w:space="0"/>
            <w:left w:val="none" w:sz="0" w:space="0"/>
            <w:bottom w:val="none" w:sz="0" w:space="0"/>
            <w:right w:val="none" w:sz="0" w:space="0"/>
          </w:pgBorders>
          <w:pgNumType w:fmt="upperRoman" w:start="3"/>
          <w:cols w:space="425" w:num="1"/>
          <w:formProt w:val="0"/>
          <w:docGrid w:linePitch="312" w:charSpace="0"/>
        </w:sectPr>
      </w:pPr>
    </w:p>
    <w:bookmarkEnd w:id="21"/>
    <w:sdt>
      <w:sdtPr>
        <w:tag w:val="NEW_STAND_NAME"/>
        <w:id w:val="700051575"/>
        <w:lock w:val="sdtLocked"/>
        <w:placeholder>
          <w:docPart w:val="37BCCEF4DA094EE1A3EA89D73B495B65"/>
        </w:placeholder>
      </w:sdtPr>
      <w:sdtContent>
        <w:p>
          <w:pPr>
            <w:pStyle w:val="179"/>
            <w:spacing w:before="567" w:after="680" w:line="240" w:lineRule="auto"/>
          </w:pPr>
          <w:bookmarkStart w:id="22" w:name="NEW_STAND_NAME"/>
          <w:bookmarkStart w:id="23" w:name="BookMark4"/>
          <w:sdt>
            <w:sdtPr>
              <w:rPr>
                <w:rFonts w:hint="eastAsia"/>
              </w:rPr>
              <w:tag w:val="NEW_STAND_NAME"/>
              <w:id w:val="595910757"/>
              <w:lock w:val="sdtLocked"/>
              <w:placeholder>
                <w:docPart w:val="{2db8f020-99a3-4ee6-a534-f215777cd69b}"/>
              </w:placeholder>
            </w:sdtPr>
            <w:sdtEndPr>
              <w:rPr>
                <w:rFonts w:hint="eastAsia"/>
              </w:rPr>
            </w:sdtEndPr>
            <w:sdtContent>
              <w:r>
                <w:rPr>
                  <w:rFonts w:hint="eastAsia"/>
                </w:rPr>
                <w:t>光伏组件封装用共挤胶膜</w:t>
              </w:r>
            </w:sdtContent>
          </w:sdt>
        </w:p>
      </w:sdtContent>
    </w:sdt>
    <w:bookmarkEnd w:id="22"/>
    <w:p>
      <w:pPr>
        <w:pStyle w:val="106"/>
        <w:spacing w:before="240" w:after="240"/>
      </w:pPr>
      <w:bookmarkStart w:id="24" w:name="_Toc26648465"/>
      <w:bookmarkStart w:id="25" w:name="_Toc21759"/>
      <w:bookmarkStart w:id="26" w:name="_Toc17233325"/>
      <w:bookmarkStart w:id="27" w:name="_Toc26986771"/>
      <w:bookmarkStart w:id="28" w:name="_Toc79045635"/>
      <w:bookmarkStart w:id="29" w:name="_Toc17233333"/>
      <w:bookmarkStart w:id="30" w:name="_Toc79504498"/>
      <w:bookmarkStart w:id="31" w:name="_Toc24884211"/>
      <w:bookmarkStart w:id="32" w:name="_Toc10800"/>
      <w:bookmarkStart w:id="33" w:name="_Toc26718930"/>
      <w:bookmarkStart w:id="34" w:name="_Toc24884218"/>
      <w:bookmarkStart w:id="35" w:name="_Toc26986530"/>
      <w:r>
        <w:rPr>
          <w:rFonts w:hint="eastAsia"/>
        </w:rPr>
        <w:t>范围</w:t>
      </w:r>
      <w:bookmarkEnd w:id="24"/>
      <w:bookmarkEnd w:id="25"/>
      <w:bookmarkEnd w:id="26"/>
      <w:bookmarkEnd w:id="27"/>
      <w:bookmarkEnd w:id="28"/>
      <w:bookmarkEnd w:id="29"/>
      <w:bookmarkEnd w:id="30"/>
      <w:bookmarkEnd w:id="31"/>
      <w:bookmarkEnd w:id="32"/>
      <w:bookmarkEnd w:id="33"/>
      <w:bookmarkEnd w:id="34"/>
      <w:bookmarkEnd w:id="35"/>
    </w:p>
    <w:p>
      <w:pPr>
        <w:pStyle w:val="58"/>
        <w:ind w:firstLine="420"/>
      </w:pPr>
      <w:bookmarkStart w:id="36" w:name="_Toc17233326"/>
      <w:bookmarkStart w:id="37" w:name="_Toc26648466"/>
      <w:bookmarkStart w:id="38" w:name="_Toc24884212"/>
      <w:bookmarkStart w:id="39" w:name="_Toc17233334"/>
      <w:bookmarkStart w:id="40" w:name="_Toc24884219"/>
      <w:r>
        <w:rPr>
          <w:rFonts w:hint="eastAsia"/>
        </w:rPr>
        <w:t>本文件规定了光伏组件封装用共挤胶膜（以下简称共挤胶膜）的术语和定义、要求、试验方法、检测规则、包装、标志、运输和贮存。</w:t>
      </w:r>
    </w:p>
    <w:p>
      <w:pPr>
        <w:pStyle w:val="58"/>
        <w:ind w:firstLine="420"/>
      </w:pPr>
      <w:r>
        <w:rPr>
          <w:rFonts w:hint="eastAsia"/>
        </w:rPr>
        <w:t>本文件适用于地面晶体硅光伏组件封装用共挤胶膜,薄膜组件可参照使用。</w:t>
      </w:r>
    </w:p>
    <w:p>
      <w:pPr>
        <w:pStyle w:val="106"/>
        <w:spacing w:before="240" w:after="240"/>
      </w:pPr>
      <w:bookmarkStart w:id="41" w:name="_Toc26986772"/>
      <w:bookmarkStart w:id="42" w:name="_Toc26986531"/>
      <w:bookmarkStart w:id="43" w:name="_Toc79504499"/>
      <w:bookmarkStart w:id="44" w:name="_Toc1318"/>
      <w:bookmarkStart w:id="45" w:name="_Toc79045636"/>
      <w:bookmarkStart w:id="46" w:name="_Toc26718931"/>
      <w:bookmarkStart w:id="47" w:name="_Toc25811"/>
      <w:r>
        <w:rPr>
          <w:rFonts w:hint="eastAsia"/>
        </w:rPr>
        <w:t>规范性引用文件</w:t>
      </w:r>
      <w:bookmarkEnd w:id="36"/>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8467A95ED8AA41BC97CDEF710B4C03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pPr>
      <w:r>
        <w:rPr>
          <w:rFonts w:hint="eastAsia"/>
        </w:rPr>
        <w:t>GB/T 1033.1—2008  塑料  非泡沫塑料密度的测定  第1部分：浸渍法、液体比重瓶法和滴定法</w:t>
      </w:r>
    </w:p>
    <w:p>
      <w:pPr>
        <w:pStyle w:val="58"/>
        <w:ind w:firstLine="420"/>
      </w:pPr>
      <w:r>
        <w:rPr>
          <w:rFonts w:hint="eastAsia"/>
        </w:rPr>
        <w:t>GB/T 1408.1—2016  绝缘材料电气强度试验方法  第1部分：工频下试验</w:t>
      </w:r>
    </w:p>
    <w:p>
      <w:pPr>
        <w:pStyle w:val="58"/>
        <w:ind w:firstLine="420"/>
      </w:pPr>
      <w:r>
        <w:rPr>
          <w:rFonts w:hint="eastAsia"/>
        </w:rPr>
        <w:t>GB/T 2410—2008  透明塑料透射比和雾度的测定</w:t>
      </w:r>
      <w:bookmarkStart w:id="91" w:name="_GoBack"/>
      <w:bookmarkEnd w:id="91"/>
    </w:p>
    <w:p>
      <w:pPr>
        <w:pStyle w:val="58"/>
        <w:ind w:firstLine="420"/>
      </w:pPr>
      <w:r>
        <w:rPr>
          <w:rFonts w:hint="eastAsia"/>
        </w:rPr>
        <w:t>GB/T 2790—1995  胶粘剂180°剥离强度试验方法  挠性材料对刚性材料</w:t>
      </w:r>
    </w:p>
    <w:p>
      <w:pPr>
        <w:pStyle w:val="58"/>
        <w:ind w:firstLine="420"/>
      </w:pPr>
      <w:r>
        <w:rPr>
          <w:rFonts w:hint="eastAsia"/>
        </w:rPr>
        <w:t>GB/T 2828.1—2012  计数抽样检验程序  第1部分：按接收质量限（AQL）检索的逐批检验抽样计划</w:t>
      </w:r>
    </w:p>
    <w:p>
      <w:pPr>
        <w:pStyle w:val="58"/>
        <w:ind w:firstLine="420"/>
      </w:pPr>
      <w:r>
        <w:rPr>
          <w:rFonts w:hint="eastAsia"/>
        </w:rPr>
        <w:t>GB/T 2918—1998  塑料试样状态调节和试验的标准环境</w:t>
      </w:r>
    </w:p>
    <w:p>
      <w:pPr>
        <w:pStyle w:val="58"/>
        <w:ind w:firstLine="420"/>
      </w:pPr>
      <w:r>
        <w:rPr>
          <w:rFonts w:hint="eastAsia"/>
        </w:rPr>
        <w:t>GB/T 4207—2022  固体绝缘材料耐电痕化指数和相比电痕化指数的测定方法</w:t>
      </w:r>
    </w:p>
    <w:p>
      <w:pPr>
        <w:pStyle w:val="58"/>
        <w:ind w:firstLine="420"/>
      </w:pPr>
      <w:r>
        <w:rPr>
          <w:rFonts w:hint="eastAsia"/>
        </w:rPr>
        <w:t>GB/T 6672—2001  塑料薄膜和薄片厚度的测定  机械测量法</w:t>
      </w:r>
    </w:p>
    <w:p>
      <w:pPr>
        <w:pStyle w:val="58"/>
        <w:ind w:firstLine="420"/>
      </w:pPr>
      <w:r>
        <w:rPr>
          <w:rFonts w:hint="eastAsia"/>
        </w:rPr>
        <w:t>GB/T 29848—2018  光伏组件封装用乙烯-醋酸乙烯酯共聚物（EVA）胶膜</w:t>
      </w:r>
    </w:p>
    <w:p>
      <w:pPr>
        <w:pStyle w:val="58"/>
        <w:ind w:firstLine="420"/>
      </w:pPr>
      <w:r>
        <w:rPr>
          <w:rFonts w:hint="eastAsia"/>
        </w:rPr>
        <w:t>GB/T 31838.2—2019  固体绝缘材料  介电和电阻特性  第2部分：电阻特性(DC方法)体积电阻和体积电阻率</w:t>
      </w:r>
    </w:p>
    <w:p>
      <w:pPr>
        <w:pStyle w:val="58"/>
        <w:ind w:firstLine="420"/>
        <w:rPr>
          <w:rFonts w:hint="eastAsia" w:hAnsi="宋体" w:cs="宋体"/>
        </w:rPr>
      </w:pPr>
      <w:r>
        <w:rPr>
          <w:rFonts w:hint="eastAsia" w:hAnsi="宋体" w:cs="宋体"/>
        </w:rPr>
        <w:t>IEC 61215-2:2016  地面用光伏组件  设计鉴定和定型  第2部分：试验程序</w:t>
      </w:r>
      <w:r>
        <w:rPr>
          <w:rFonts w:hint="eastAsia" w:ascii="宋体" w:hAnsi="宋体" w:cs="宋体"/>
        </w:rPr>
        <w:t>（Terrestrial photovoltaic (PV) modules-Design qualification and type approval-Part 2:Test procedures）</w:t>
      </w:r>
    </w:p>
    <w:p>
      <w:pPr>
        <w:pStyle w:val="58"/>
        <w:ind w:firstLine="420"/>
        <w:rPr>
          <w:rFonts w:hint="eastAsia" w:hAnsi="宋体" w:cs="宋体"/>
        </w:rPr>
      </w:pPr>
      <w:r>
        <w:rPr>
          <w:rFonts w:hint="eastAsia" w:hAnsi="宋体" w:cs="宋体"/>
        </w:rPr>
        <w:t>ASTM E313-2010  仪器测量的颜色坐标的白度与黄度指数计算规程</w:t>
      </w:r>
      <w:r>
        <w:rPr>
          <w:rFonts w:hint="eastAsia" w:ascii="宋体" w:hAnsi="宋体" w:cs="宋体"/>
        </w:rPr>
        <w:t>（Standard practice for calculating yellowness and whiteness indices from instrumentally measured color coordinates）</w:t>
      </w:r>
    </w:p>
    <w:p>
      <w:pPr>
        <w:pStyle w:val="106"/>
        <w:spacing w:before="240" w:after="240"/>
      </w:pPr>
      <w:bookmarkStart w:id="48" w:name="_Toc79045637"/>
      <w:bookmarkStart w:id="49" w:name="_Toc3929"/>
      <w:bookmarkStart w:id="50" w:name="_Toc10799"/>
      <w:bookmarkStart w:id="51" w:name="_Toc79504500"/>
      <w:r>
        <w:rPr>
          <w:rFonts w:hint="eastAsia"/>
          <w:szCs w:val="21"/>
        </w:rPr>
        <w:t>术语和定义</w:t>
      </w:r>
      <w:bookmarkEnd w:id="48"/>
      <w:bookmarkEnd w:id="49"/>
      <w:bookmarkEnd w:id="50"/>
      <w:bookmarkEnd w:id="51"/>
    </w:p>
    <w:sdt>
      <w:sdtPr>
        <w:id w:val="-1909835108"/>
        <w:placeholder>
          <w:docPart w:val="F7B519F888524541906C6B20F3C883B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52" w:name="_Toc26986532"/>
          <w:bookmarkEnd w:id="52"/>
          <w:r>
            <w:t>下列术语和定义适用于本文件。</w:t>
          </w:r>
        </w:p>
      </w:sdtContent>
    </w:sdt>
    <w:p>
      <w:pPr>
        <w:pStyle w:val="225"/>
        <w:ind w:left="420" w:hanging="420" w:hangingChars="200"/>
        <w:rPr>
          <w:rFonts w:ascii="黑体" w:hAnsi="黑体" w:eastAsia="黑体" w:cs="黑体"/>
        </w:rPr>
      </w:pPr>
      <w:r>
        <w:rPr>
          <w:rFonts w:ascii="黑体" w:hAnsi="黑体" w:eastAsia="黑体"/>
        </w:rPr>
        <w:br w:type="textWrapping"/>
      </w:r>
      <w:r>
        <w:rPr>
          <w:rFonts w:hint="eastAsia" w:ascii="黑体" w:hAnsi="黑体" w:eastAsia="黑体" w:cs="黑体"/>
        </w:rPr>
        <w:t>共挤胶膜  co-extrusion film</w:t>
      </w:r>
    </w:p>
    <w:p>
      <w:pPr>
        <w:pStyle w:val="58"/>
        <w:ind w:firstLine="420"/>
      </w:pPr>
      <w:r>
        <w:rPr>
          <w:rFonts w:hint="eastAsia"/>
        </w:rPr>
        <w:t>以乙烯-醋酸乙烯酯共聚物(简称EVA)树脂和乙烯与α-烯烃共聚物（简称共聚烯烃，POE）树脂为两种主要原料，分别添加含有交联剂在内的各种助剂，两种原料分别经两台或多台挤出机熔融挤出，通过流道在模头内或模头外复合并共同流延成型，具备多层结构(如：EVA/POE/EVA三层、EVA/POE两层结构等)，外观呈透明状，用作地面晶体硅光伏组件封装的胶膜。</w:t>
      </w:r>
    </w:p>
    <w:p>
      <w:pPr>
        <w:pStyle w:val="106"/>
        <w:spacing w:before="240" w:after="240"/>
      </w:pPr>
      <w:bookmarkStart w:id="53" w:name="_Toc79045639"/>
      <w:bookmarkEnd w:id="53"/>
      <w:bookmarkStart w:id="54" w:name="_Toc144800288"/>
      <w:bookmarkStart w:id="55" w:name="_Toc26826"/>
      <w:r>
        <w:rPr>
          <w:rFonts w:hint="eastAsia"/>
        </w:rPr>
        <w:t>要求</w:t>
      </w:r>
      <w:bookmarkEnd w:id="54"/>
      <w:bookmarkEnd w:id="55"/>
    </w:p>
    <w:p>
      <w:pPr>
        <w:pStyle w:val="107"/>
        <w:spacing w:before="120" w:after="120"/>
      </w:pPr>
      <w:bookmarkStart w:id="56" w:name="_Toc31046"/>
      <w:bookmarkStart w:id="57" w:name="_Toc144800289"/>
      <w:r>
        <w:rPr>
          <w:rFonts w:hint="eastAsia"/>
        </w:rPr>
        <w:t>规格及偏差</w:t>
      </w:r>
      <w:bookmarkEnd w:id="56"/>
      <w:bookmarkEnd w:id="57"/>
    </w:p>
    <w:p>
      <w:pPr>
        <w:pStyle w:val="58"/>
        <w:ind w:firstLine="420"/>
      </w:pPr>
      <w:r>
        <w:rPr>
          <w:rFonts w:hint="eastAsia"/>
        </w:rPr>
        <w:t>单卷产品的规格应符合表1的规定。</w:t>
      </w:r>
    </w:p>
    <w:p>
      <w:pPr>
        <w:numPr>
          <w:ilvl w:val="0"/>
          <w:numId w:val="16"/>
        </w:numPr>
        <w:spacing w:before="120" w:beforeLines="50" w:after="120" w:afterLines="50"/>
        <w:jc w:val="center"/>
        <w:rPr>
          <w:rFonts w:ascii="黑体" w:hAnsi="Times New Roman" w:eastAsia="黑体"/>
        </w:rPr>
      </w:pPr>
      <w:r>
        <w:rPr>
          <w:rFonts w:hint="eastAsia" w:ascii="黑体" w:hAnsi="Times New Roman" w:eastAsia="黑体"/>
        </w:rPr>
        <w:t>规格及偏差</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序号</w:t>
            </w:r>
          </w:p>
        </w:tc>
        <w:tc>
          <w:tcPr>
            <w:tcW w:w="3112" w:type="dxa"/>
            <w:tcBorders>
              <w:top w:val="single" w:color="auto" w:sz="8" w:space="0"/>
              <w:bottom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项目</w:t>
            </w:r>
          </w:p>
        </w:tc>
        <w:tc>
          <w:tcPr>
            <w:tcW w:w="3112" w:type="dxa"/>
            <w:tcBorders>
              <w:top w:val="single" w:color="auto" w:sz="8" w:space="0"/>
              <w:bottom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bottom w:val="single" w:color="auto" w:sz="4"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1</w:t>
            </w:r>
          </w:p>
        </w:tc>
        <w:tc>
          <w:tcPr>
            <w:tcW w:w="3112" w:type="dxa"/>
            <w:tcBorders>
              <w:top w:val="single" w:color="auto" w:sz="8" w:space="0"/>
              <w:bottom w:val="single" w:color="auto" w:sz="4"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整体厚度，mm</w:t>
            </w:r>
          </w:p>
        </w:tc>
        <w:tc>
          <w:tcPr>
            <w:tcW w:w="3112" w:type="dxa"/>
            <w:tcBorders>
              <w:top w:val="single" w:color="auto" w:sz="8" w:space="0"/>
              <w:bottom w:val="single" w:color="auto" w:sz="4"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0</w:t>
            </w:r>
            <w:r>
              <w:rPr>
                <w:rFonts w:ascii="宋体" w:hAnsi="Times New Roman"/>
                <w:sz w:val="18"/>
              </w:rPr>
              <w:t>.2</w:t>
            </w:r>
            <w:r>
              <w:rPr>
                <w:rFonts w:hint="eastAsia" w:ascii="宋体" w:hAnsi="宋体"/>
                <w:sz w:val="18"/>
              </w:rPr>
              <w:t>～</w:t>
            </w:r>
            <w:r>
              <w:rPr>
                <w:rFonts w:ascii="宋体" w:hAnsi="Times New Roman"/>
                <w:sz w:val="18"/>
              </w:rPr>
              <w:t>0.8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8" w:hRule="atLeast"/>
          <w:jc w:val="center"/>
        </w:trPr>
        <w:tc>
          <w:tcPr>
            <w:tcW w:w="3110" w:type="dxa"/>
            <w:tcBorders>
              <w:top w:val="single" w:color="auto" w:sz="4" w:space="0"/>
              <w:bottom w:val="single" w:color="auto" w:sz="4"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2</w:t>
            </w:r>
          </w:p>
        </w:tc>
        <w:tc>
          <w:tcPr>
            <w:tcW w:w="3112" w:type="dxa"/>
            <w:tcBorders>
              <w:top w:val="single" w:color="auto" w:sz="4" w:space="0"/>
              <w:bottom w:val="single" w:color="auto" w:sz="4"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POE层厚度偏差,%</w:t>
            </w:r>
          </w:p>
        </w:tc>
        <w:tc>
          <w:tcPr>
            <w:tcW w:w="3112" w:type="dxa"/>
            <w:tcBorders>
              <w:top w:val="single" w:color="auto" w:sz="4" w:space="0"/>
              <w:bottom w:val="single" w:color="auto" w:sz="4"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w:t>
            </w:r>
            <w:r>
              <w:rPr>
                <w:rFonts w:ascii="宋体" w:hAnsi="Times New Roman"/>
                <w:sz w:val="18"/>
              </w:rPr>
              <w:t>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4" w:space="0"/>
              <w:bottom w:val="single" w:color="auto" w:sz="4"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3</w:t>
            </w:r>
          </w:p>
        </w:tc>
        <w:tc>
          <w:tcPr>
            <w:tcW w:w="3112" w:type="dxa"/>
            <w:tcBorders>
              <w:top w:val="single" w:color="auto" w:sz="4" w:space="0"/>
              <w:bottom w:val="single" w:color="auto" w:sz="4"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面密度偏差，%</w:t>
            </w:r>
          </w:p>
        </w:tc>
        <w:tc>
          <w:tcPr>
            <w:tcW w:w="3112" w:type="dxa"/>
            <w:tcBorders>
              <w:top w:val="single" w:color="auto" w:sz="4" w:space="0"/>
              <w:bottom w:val="single" w:color="auto" w:sz="4"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w:t>
            </w:r>
            <w:r>
              <w:rPr>
                <w:rFonts w:ascii="宋体" w:hAnsi="Times New Roman"/>
                <w:sz w:val="18"/>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4" w:space="0"/>
              <w:bottom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4</w:t>
            </w:r>
          </w:p>
        </w:tc>
        <w:tc>
          <w:tcPr>
            <w:tcW w:w="3112" w:type="dxa"/>
            <w:tcBorders>
              <w:top w:val="single" w:color="auto" w:sz="4" w:space="0"/>
              <w:bottom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密度，g</w:t>
            </w:r>
            <w:r>
              <w:rPr>
                <w:rFonts w:ascii="宋体" w:hAnsi="Times New Roman"/>
                <w:sz w:val="18"/>
              </w:rPr>
              <w:t>/cm</w:t>
            </w:r>
            <w:r>
              <w:rPr>
                <w:rFonts w:hint="eastAsia" w:ascii="宋体" w:hAnsi="Times New Roman"/>
                <w:sz w:val="18"/>
                <w:vertAlign w:val="superscript"/>
              </w:rPr>
              <w:t>3</w:t>
            </w:r>
          </w:p>
        </w:tc>
        <w:tc>
          <w:tcPr>
            <w:tcW w:w="3112" w:type="dxa"/>
            <w:tcBorders>
              <w:top w:val="single" w:color="auto" w:sz="4" w:space="0"/>
              <w:bottom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0</w:t>
            </w:r>
            <w:r>
              <w:rPr>
                <w:rFonts w:ascii="宋体" w:hAnsi="Times New Roman"/>
                <w:sz w:val="18"/>
              </w:rPr>
              <w:t>.89</w:t>
            </w:r>
            <w:r>
              <w:rPr>
                <w:rFonts w:hint="eastAsia" w:ascii="宋体" w:hAnsi="宋体"/>
                <w:sz w:val="18"/>
              </w:rPr>
              <w:t>～</w:t>
            </w:r>
            <w:r>
              <w:rPr>
                <w:rFonts w:ascii="宋体" w:hAnsi="Times New Roman"/>
                <w:sz w:val="18"/>
              </w:rPr>
              <w:t>0.94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3"/>
            <w:tcBorders>
              <w:top w:val="single" w:color="auto" w:sz="8" w:space="0"/>
              <w:bottom w:val="single" w:color="auto" w:sz="8" w:space="0"/>
            </w:tcBorders>
            <w:shd w:val="clear" w:color="auto" w:fill="auto"/>
            <w:vAlign w:val="center"/>
          </w:tcPr>
          <w:p>
            <w:pPr>
              <w:autoSpaceDE w:val="0"/>
              <w:autoSpaceDN w:val="0"/>
              <w:spacing w:line="240" w:lineRule="auto"/>
              <w:ind w:left="409" w:leftChars="195" w:firstLine="9" w:firstLineChars="5"/>
              <w:jc w:val="left"/>
              <w:rPr>
                <w:rFonts w:ascii="宋体" w:hAnsi="Times New Roman"/>
                <w:sz w:val="18"/>
              </w:rPr>
            </w:pPr>
            <w:r>
              <w:rPr>
                <w:rFonts w:hint="eastAsia" w:ascii="黑体" w:hAnsi="黑体" w:eastAsia="黑体" w:cs="黑体"/>
                <w:sz w:val="18"/>
                <w:szCs w:val="18"/>
              </w:rPr>
              <w:t>注：</w:t>
            </w:r>
            <w:r>
              <w:rPr>
                <w:rFonts w:hint="eastAsia" w:ascii="宋体" w:hAnsi="Times New Roman"/>
                <w:sz w:val="18"/>
                <w:szCs w:val="18"/>
              </w:rPr>
              <w:t>特殊规格和要求可按合同规定执行。</w:t>
            </w:r>
          </w:p>
        </w:tc>
      </w:tr>
    </w:tbl>
    <w:p>
      <w:pPr>
        <w:pStyle w:val="58"/>
        <w:ind w:firstLine="420"/>
      </w:pPr>
    </w:p>
    <w:p>
      <w:pPr>
        <w:pStyle w:val="107"/>
        <w:spacing w:before="120" w:after="120"/>
      </w:pPr>
      <w:bookmarkStart w:id="58" w:name="_Toc8859"/>
      <w:bookmarkStart w:id="59" w:name="_Toc144800290"/>
      <w:r>
        <w:rPr>
          <w:rFonts w:hint="eastAsia"/>
        </w:rPr>
        <w:t>外观</w:t>
      </w:r>
      <w:bookmarkEnd w:id="58"/>
      <w:bookmarkEnd w:id="59"/>
    </w:p>
    <w:p>
      <w:pPr>
        <w:pStyle w:val="58"/>
        <w:ind w:firstLine="420"/>
      </w:pPr>
      <w:r>
        <w:rPr>
          <w:rFonts w:hint="eastAsia"/>
        </w:rPr>
        <w:t>产品表面应平整、无折痕、无污点、无可见杂质、无气泡、压花清晰。</w:t>
      </w:r>
    </w:p>
    <w:p>
      <w:pPr>
        <w:pStyle w:val="107"/>
        <w:spacing w:before="120" w:after="120"/>
      </w:pPr>
      <w:bookmarkStart w:id="60" w:name="_Toc5930"/>
      <w:bookmarkStart w:id="61" w:name="_Toc144800291"/>
      <w:r>
        <w:rPr>
          <w:rFonts w:hint="eastAsia"/>
        </w:rPr>
        <w:t>物理性能</w:t>
      </w:r>
      <w:bookmarkEnd w:id="60"/>
      <w:bookmarkEnd w:id="61"/>
    </w:p>
    <w:p>
      <w:pPr>
        <w:pStyle w:val="58"/>
        <w:ind w:firstLine="420"/>
      </w:pPr>
      <w:r>
        <w:rPr>
          <w:rFonts w:hint="eastAsia"/>
        </w:rPr>
        <w:t>产品的物理性能应符合表2的规定。</w:t>
      </w:r>
    </w:p>
    <w:p>
      <w:pPr>
        <w:numPr>
          <w:ilvl w:val="0"/>
          <w:numId w:val="16"/>
        </w:numPr>
        <w:spacing w:before="120" w:beforeLines="50" w:after="120" w:afterLines="50"/>
        <w:jc w:val="center"/>
        <w:rPr>
          <w:rFonts w:ascii="黑体" w:hAnsi="Times New Roman" w:eastAsia="黑体"/>
        </w:rPr>
      </w:pPr>
      <w:r>
        <w:rPr>
          <w:rFonts w:hint="eastAsia" w:ascii="黑体" w:hAnsi="Times New Roman" w:eastAsia="黑体"/>
        </w:rPr>
        <w:t>物理性能</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66"/>
        <w:gridCol w:w="2410"/>
        <w:gridCol w:w="1843"/>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266" w:type="dxa"/>
            <w:tcBorders>
              <w:top w:val="single" w:color="auto" w:sz="8" w:space="0"/>
              <w:bottom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序号</w:t>
            </w:r>
          </w:p>
        </w:tc>
        <w:tc>
          <w:tcPr>
            <w:tcW w:w="4253" w:type="dxa"/>
            <w:gridSpan w:val="2"/>
            <w:tcBorders>
              <w:top w:val="single" w:color="auto" w:sz="8" w:space="0"/>
              <w:bottom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项目</w:t>
            </w:r>
          </w:p>
        </w:tc>
        <w:tc>
          <w:tcPr>
            <w:tcW w:w="3815" w:type="dxa"/>
            <w:tcBorders>
              <w:top w:val="single" w:color="auto" w:sz="8" w:space="0"/>
              <w:bottom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tcBorders>
              <w:top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1</w:t>
            </w:r>
          </w:p>
        </w:tc>
        <w:tc>
          <w:tcPr>
            <w:tcW w:w="2410" w:type="dxa"/>
            <w:vMerge w:val="restart"/>
            <w:tcBorders>
              <w:top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透光率，%</w:t>
            </w:r>
          </w:p>
        </w:tc>
        <w:tc>
          <w:tcPr>
            <w:tcW w:w="1843" w:type="dxa"/>
            <w:tcBorders>
              <w:top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波长1100nm～380nm</w:t>
            </w:r>
          </w:p>
        </w:tc>
        <w:tc>
          <w:tcPr>
            <w:tcW w:w="3815" w:type="dxa"/>
            <w:tcBorders>
              <w:top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≥90.0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autoSpaceDE w:val="0"/>
              <w:autoSpaceDN w:val="0"/>
              <w:spacing w:line="240" w:lineRule="auto"/>
              <w:jc w:val="center"/>
              <w:rPr>
                <w:rFonts w:ascii="宋体" w:hAnsi="Times New Roman"/>
                <w:sz w:val="18"/>
              </w:rPr>
            </w:pPr>
          </w:p>
        </w:tc>
        <w:tc>
          <w:tcPr>
            <w:tcW w:w="2410" w:type="dxa"/>
            <w:vMerge w:val="continue"/>
            <w:shd w:val="clear" w:color="auto" w:fill="auto"/>
            <w:vAlign w:val="center"/>
          </w:tcPr>
          <w:p>
            <w:pPr>
              <w:autoSpaceDE w:val="0"/>
              <w:autoSpaceDN w:val="0"/>
              <w:spacing w:line="240" w:lineRule="auto"/>
              <w:jc w:val="center"/>
              <w:rPr>
                <w:rFonts w:ascii="宋体" w:hAnsi="Times New Roman"/>
                <w:sz w:val="18"/>
              </w:rPr>
            </w:pPr>
          </w:p>
        </w:tc>
        <w:tc>
          <w:tcPr>
            <w:tcW w:w="1843"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波长380nm～290nm</w:t>
            </w: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UV高透型：≥70；UV截止型：≤30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2</w:t>
            </w:r>
          </w:p>
        </w:tc>
        <w:tc>
          <w:tcPr>
            <w:tcW w:w="4253" w:type="dxa"/>
            <w:gridSpan w:val="2"/>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交联度，%</w:t>
            </w: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3</w:t>
            </w:r>
          </w:p>
        </w:tc>
        <w:tc>
          <w:tcPr>
            <w:tcW w:w="4253" w:type="dxa"/>
            <w:gridSpan w:val="2"/>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POE质量占比，%</w:t>
            </w: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20～75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4</w:t>
            </w:r>
          </w:p>
        </w:tc>
        <w:tc>
          <w:tcPr>
            <w:tcW w:w="4253" w:type="dxa"/>
            <w:gridSpan w:val="2"/>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与玻璃的剥离强度，N/cm</w:t>
            </w: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5</w:t>
            </w:r>
          </w:p>
        </w:tc>
        <w:tc>
          <w:tcPr>
            <w:tcW w:w="4253" w:type="dxa"/>
            <w:gridSpan w:val="2"/>
            <w:vMerge w:val="restart"/>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收缩率（层压前），%</w:t>
            </w: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MD≤3.0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autoSpaceDE w:val="0"/>
              <w:autoSpaceDN w:val="0"/>
              <w:spacing w:line="240" w:lineRule="auto"/>
              <w:jc w:val="center"/>
              <w:rPr>
                <w:rFonts w:ascii="宋体" w:hAnsi="Times New Roman"/>
                <w:sz w:val="18"/>
              </w:rPr>
            </w:pPr>
          </w:p>
        </w:tc>
        <w:tc>
          <w:tcPr>
            <w:tcW w:w="4253" w:type="dxa"/>
            <w:gridSpan w:val="2"/>
            <w:vMerge w:val="continue"/>
            <w:shd w:val="clear" w:color="auto" w:fill="auto"/>
            <w:vAlign w:val="center"/>
          </w:tcPr>
          <w:p>
            <w:pPr>
              <w:autoSpaceDE w:val="0"/>
              <w:autoSpaceDN w:val="0"/>
              <w:spacing w:line="240" w:lineRule="auto"/>
              <w:jc w:val="center"/>
              <w:rPr>
                <w:rFonts w:ascii="宋体" w:hAnsi="Times New Roman"/>
                <w:sz w:val="18"/>
              </w:rPr>
            </w:pP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TD≤1.5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6</w:t>
            </w:r>
          </w:p>
        </w:tc>
        <w:tc>
          <w:tcPr>
            <w:tcW w:w="4253" w:type="dxa"/>
            <w:gridSpan w:val="2"/>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体积电阻率，Ω·cm</w:t>
            </w: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≥1.0×10</w:t>
            </w:r>
            <w:r>
              <w:rPr>
                <w:rFonts w:hint="eastAsia" w:ascii="宋体" w:hAnsi="Times New Roman"/>
                <w:sz w:val="18"/>
                <w:vertAlign w:val="superscript"/>
              </w:rPr>
              <w:t>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7</w:t>
            </w:r>
          </w:p>
        </w:tc>
        <w:tc>
          <w:tcPr>
            <w:tcW w:w="4253" w:type="dxa"/>
            <w:gridSpan w:val="2"/>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电气强度，kV/mm</w:t>
            </w:r>
          </w:p>
          <w:p>
            <w:pPr>
              <w:autoSpaceDE w:val="0"/>
              <w:autoSpaceDN w:val="0"/>
              <w:spacing w:line="240" w:lineRule="auto"/>
              <w:jc w:val="center"/>
              <w:rPr>
                <w:rFonts w:ascii="宋体" w:hAnsi="Times New Roman"/>
                <w:sz w:val="18"/>
              </w:rPr>
            </w:pPr>
            <w:r>
              <w:rPr>
                <w:rFonts w:hint="eastAsia" w:ascii="宋体" w:hAnsi="Times New Roman"/>
                <w:sz w:val="18"/>
              </w:rPr>
              <w:t>(交流法)</w:t>
            </w: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≥28.0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8</w:t>
            </w:r>
          </w:p>
        </w:tc>
        <w:tc>
          <w:tcPr>
            <w:tcW w:w="4253" w:type="dxa"/>
            <w:gridSpan w:val="2"/>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耐电痕化指数，V</w:t>
            </w: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≥400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9</w:t>
            </w:r>
          </w:p>
        </w:tc>
        <w:tc>
          <w:tcPr>
            <w:tcW w:w="4253" w:type="dxa"/>
            <w:gridSpan w:val="2"/>
            <w:vMerge w:val="restart"/>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紫外老化性能</w:t>
            </w:r>
          </w:p>
          <w:p>
            <w:pPr>
              <w:autoSpaceDE w:val="0"/>
              <w:autoSpaceDN w:val="0"/>
              <w:spacing w:line="240" w:lineRule="auto"/>
              <w:jc w:val="center"/>
              <w:rPr>
                <w:rFonts w:ascii="宋体" w:hAnsi="Times New Roman"/>
                <w:sz w:val="18"/>
              </w:rPr>
            </w:pPr>
            <w:r>
              <w:rPr>
                <w:rFonts w:hint="eastAsia" w:ascii="宋体" w:hAnsi="Times New Roman"/>
                <w:sz w:val="18"/>
              </w:rPr>
              <w:t>（120kWh/m</w:t>
            </w:r>
            <w:r>
              <w:rPr>
                <w:rFonts w:hint="eastAsia" w:ascii="宋体" w:hAnsi="Times New Roman"/>
                <w:sz w:val="18"/>
                <w:vertAlign w:val="superscript"/>
              </w:rPr>
              <w:t>2</w:t>
            </w:r>
            <w:r>
              <w:rPr>
                <w:rFonts w:hint="eastAsia" w:ascii="宋体" w:hAnsi="Times New Roman"/>
                <w:sz w:val="18"/>
              </w:rPr>
              <w:t>）</w:t>
            </w: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与玻璃的剥离强度 ≥30N/cm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autoSpaceDE w:val="0"/>
              <w:autoSpaceDN w:val="0"/>
              <w:spacing w:line="240" w:lineRule="auto"/>
              <w:jc w:val="center"/>
              <w:rPr>
                <w:rFonts w:ascii="宋体" w:hAnsi="Times New Roman"/>
                <w:sz w:val="18"/>
              </w:rPr>
            </w:pPr>
          </w:p>
        </w:tc>
        <w:tc>
          <w:tcPr>
            <w:tcW w:w="4253" w:type="dxa"/>
            <w:gridSpan w:val="2"/>
            <w:vMerge w:val="continue"/>
            <w:shd w:val="clear" w:color="auto" w:fill="auto"/>
            <w:vAlign w:val="center"/>
          </w:tcPr>
          <w:p>
            <w:pPr>
              <w:autoSpaceDE w:val="0"/>
              <w:autoSpaceDN w:val="0"/>
              <w:spacing w:line="240" w:lineRule="auto"/>
              <w:jc w:val="center"/>
              <w:rPr>
                <w:rFonts w:ascii="宋体" w:hAnsi="Times New Roman"/>
                <w:sz w:val="18"/>
              </w:rPr>
            </w:pP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黄变指数△YI ≤5.0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1</w:t>
            </w:r>
            <w:r>
              <w:rPr>
                <w:rFonts w:ascii="宋体" w:hAnsi="Times New Roman"/>
                <w:sz w:val="18"/>
              </w:rPr>
              <w:t>0</w:t>
            </w:r>
          </w:p>
        </w:tc>
        <w:tc>
          <w:tcPr>
            <w:tcW w:w="4253" w:type="dxa"/>
            <w:gridSpan w:val="2"/>
            <w:vMerge w:val="restart"/>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湿热老化性能</w:t>
            </w:r>
          </w:p>
          <w:p>
            <w:pPr>
              <w:autoSpaceDE w:val="0"/>
              <w:autoSpaceDN w:val="0"/>
              <w:spacing w:line="240" w:lineRule="auto"/>
              <w:jc w:val="center"/>
              <w:rPr>
                <w:rFonts w:ascii="宋体" w:hAnsi="Times New Roman"/>
                <w:sz w:val="18"/>
              </w:rPr>
            </w:pPr>
            <w:r>
              <w:rPr>
                <w:rFonts w:ascii="宋体" w:hAnsi="Times New Roman"/>
                <w:sz w:val="18"/>
              </w:rPr>
              <w:t>(DH1000h)</w:t>
            </w: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与玻璃的剥离强度 ≥30N/cm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66" w:type="dxa"/>
            <w:vMerge w:val="continue"/>
            <w:shd w:val="clear" w:color="auto" w:fill="auto"/>
            <w:vAlign w:val="center"/>
          </w:tcPr>
          <w:p>
            <w:pPr>
              <w:autoSpaceDE w:val="0"/>
              <w:autoSpaceDN w:val="0"/>
              <w:spacing w:line="240" w:lineRule="auto"/>
              <w:jc w:val="center"/>
              <w:rPr>
                <w:rFonts w:ascii="宋体" w:hAnsi="Times New Roman"/>
                <w:sz w:val="18"/>
              </w:rPr>
            </w:pPr>
          </w:p>
        </w:tc>
        <w:tc>
          <w:tcPr>
            <w:tcW w:w="4253" w:type="dxa"/>
            <w:gridSpan w:val="2"/>
            <w:vMerge w:val="continue"/>
            <w:shd w:val="clear" w:color="auto" w:fill="auto"/>
            <w:vAlign w:val="center"/>
          </w:tcPr>
          <w:p>
            <w:pPr>
              <w:autoSpaceDE w:val="0"/>
              <w:autoSpaceDN w:val="0"/>
              <w:spacing w:line="240" w:lineRule="auto"/>
              <w:jc w:val="center"/>
              <w:rPr>
                <w:rFonts w:ascii="宋体" w:hAnsi="Times New Roman"/>
                <w:sz w:val="18"/>
              </w:rPr>
            </w:pP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黄变指数△YI ≤5.0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Merge w:val="restart"/>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1</w:t>
            </w:r>
            <w:r>
              <w:rPr>
                <w:rFonts w:ascii="宋体" w:hAnsi="Times New Roman"/>
                <w:sz w:val="18"/>
              </w:rPr>
              <w:t>1</w:t>
            </w:r>
          </w:p>
        </w:tc>
        <w:tc>
          <w:tcPr>
            <w:tcW w:w="4253" w:type="dxa"/>
            <w:gridSpan w:val="2"/>
            <w:vMerge w:val="restart"/>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PCT老化性能</w:t>
            </w:r>
          </w:p>
          <w:p>
            <w:pPr>
              <w:autoSpaceDE w:val="0"/>
              <w:autoSpaceDN w:val="0"/>
              <w:spacing w:line="240" w:lineRule="auto"/>
              <w:jc w:val="center"/>
              <w:rPr>
                <w:rFonts w:ascii="宋体" w:hAnsi="Times New Roman"/>
                <w:sz w:val="18"/>
              </w:rPr>
            </w:pPr>
            <w:r>
              <w:rPr>
                <w:rFonts w:ascii="宋体" w:hAnsi="Times New Roman"/>
                <w:sz w:val="18"/>
              </w:rPr>
              <w:t>(48h)</w:t>
            </w: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与玻璃的剥离强度 ≥30N/cm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continue"/>
            <w:shd w:val="clear" w:color="auto" w:fill="auto"/>
            <w:vAlign w:val="center"/>
          </w:tcPr>
          <w:p>
            <w:pPr>
              <w:autoSpaceDE w:val="0"/>
              <w:autoSpaceDN w:val="0"/>
              <w:spacing w:line="240" w:lineRule="auto"/>
              <w:jc w:val="center"/>
              <w:rPr>
                <w:rFonts w:ascii="宋体" w:hAnsi="Times New Roman"/>
                <w:sz w:val="18"/>
              </w:rPr>
            </w:pPr>
          </w:p>
        </w:tc>
        <w:tc>
          <w:tcPr>
            <w:tcW w:w="4253" w:type="dxa"/>
            <w:gridSpan w:val="2"/>
            <w:vMerge w:val="continue"/>
            <w:shd w:val="clear" w:color="auto" w:fill="auto"/>
            <w:vAlign w:val="center"/>
          </w:tcPr>
          <w:p>
            <w:pPr>
              <w:autoSpaceDE w:val="0"/>
              <w:autoSpaceDN w:val="0"/>
              <w:spacing w:line="240" w:lineRule="auto"/>
              <w:jc w:val="center"/>
              <w:rPr>
                <w:rFonts w:ascii="宋体" w:hAnsi="Times New Roman"/>
                <w:sz w:val="18"/>
              </w:rPr>
            </w:pP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黄变指数△YI ≤5.0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66" w:type="dxa"/>
            <w:vMerge w:val="restart"/>
            <w:shd w:val="clear" w:color="auto" w:fill="auto"/>
            <w:vAlign w:val="center"/>
          </w:tcPr>
          <w:p>
            <w:pPr>
              <w:autoSpaceDE w:val="0"/>
              <w:autoSpaceDN w:val="0"/>
              <w:spacing w:line="240" w:lineRule="auto"/>
              <w:jc w:val="center"/>
              <w:rPr>
                <w:rFonts w:ascii="宋体" w:hAnsi="Times New Roman"/>
                <w:sz w:val="18"/>
              </w:rPr>
            </w:pPr>
            <w:bookmarkStart w:id="62" w:name="_Toc9476"/>
            <w:bookmarkStart w:id="63" w:name="_Toc144800292"/>
            <w:r>
              <w:rPr>
                <w:rFonts w:hint="eastAsia" w:ascii="宋体" w:hAnsi="Times New Roman"/>
                <w:sz w:val="18"/>
              </w:rPr>
              <w:t>1</w:t>
            </w:r>
            <w:r>
              <w:rPr>
                <w:rFonts w:ascii="宋体" w:hAnsi="Times New Roman"/>
                <w:sz w:val="18"/>
              </w:rPr>
              <w:t>2</w:t>
            </w:r>
          </w:p>
        </w:tc>
        <w:tc>
          <w:tcPr>
            <w:tcW w:w="4253" w:type="dxa"/>
            <w:gridSpan w:val="2"/>
            <w:vMerge w:val="restart"/>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紫外高温高湿老化性能</w:t>
            </w:r>
          </w:p>
          <w:p>
            <w:pPr>
              <w:autoSpaceDE w:val="0"/>
              <w:autoSpaceDN w:val="0"/>
              <w:spacing w:line="240" w:lineRule="auto"/>
              <w:jc w:val="center"/>
              <w:rPr>
                <w:rFonts w:ascii="宋体" w:hAnsi="Times New Roman"/>
                <w:sz w:val="18"/>
              </w:rPr>
            </w:pPr>
            <w:r>
              <w:rPr>
                <w:rFonts w:hint="eastAsia" w:ascii="宋体" w:hAnsi="Times New Roman"/>
                <w:sz w:val="18"/>
              </w:rPr>
              <w:t>（UV+DH 300h）</w:t>
            </w:r>
          </w:p>
        </w:tc>
        <w:tc>
          <w:tcPr>
            <w:tcW w:w="3815" w:type="dxa"/>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与玻璃的剥离强度 ≥30N/cm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266" w:type="dxa"/>
            <w:vMerge w:val="continue"/>
            <w:tcBorders>
              <w:bottom w:val="single" w:color="auto" w:sz="8" w:space="0"/>
            </w:tcBorders>
            <w:shd w:val="clear" w:color="auto" w:fill="auto"/>
            <w:vAlign w:val="center"/>
          </w:tcPr>
          <w:p>
            <w:pPr>
              <w:autoSpaceDE w:val="0"/>
              <w:autoSpaceDN w:val="0"/>
              <w:spacing w:line="240" w:lineRule="auto"/>
              <w:jc w:val="center"/>
              <w:rPr>
                <w:rFonts w:ascii="宋体" w:hAnsi="Times New Roman"/>
                <w:sz w:val="18"/>
              </w:rPr>
            </w:pPr>
          </w:p>
        </w:tc>
        <w:tc>
          <w:tcPr>
            <w:tcW w:w="4253" w:type="dxa"/>
            <w:gridSpan w:val="2"/>
            <w:vMerge w:val="continue"/>
            <w:tcBorders>
              <w:bottom w:val="single" w:color="auto" w:sz="8" w:space="0"/>
            </w:tcBorders>
            <w:shd w:val="clear" w:color="auto" w:fill="auto"/>
            <w:vAlign w:val="center"/>
          </w:tcPr>
          <w:p>
            <w:pPr>
              <w:autoSpaceDE w:val="0"/>
              <w:autoSpaceDN w:val="0"/>
              <w:spacing w:line="240" w:lineRule="auto"/>
              <w:jc w:val="center"/>
              <w:rPr>
                <w:rFonts w:ascii="宋体" w:hAnsi="Times New Roman"/>
                <w:sz w:val="18"/>
              </w:rPr>
            </w:pPr>
          </w:p>
        </w:tc>
        <w:tc>
          <w:tcPr>
            <w:tcW w:w="3815" w:type="dxa"/>
            <w:tcBorders>
              <w:bottom w:val="single" w:color="auto" w:sz="8" w:space="0"/>
            </w:tcBorders>
            <w:shd w:val="clear" w:color="auto" w:fill="auto"/>
            <w:vAlign w:val="center"/>
          </w:tcPr>
          <w:p>
            <w:pPr>
              <w:autoSpaceDE w:val="0"/>
              <w:autoSpaceDN w:val="0"/>
              <w:spacing w:line="240" w:lineRule="auto"/>
              <w:jc w:val="center"/>
              <w:rPr>
                <w:rFonts w:ascii="宋体" w:hAnsi="Times New Roman"/>
                <w:sz w:val="18"/>
              </w:rPr>
            </w:pPr>
            <w:r>
              <w:rPr>
                <w:rFonts w:hint="eastAsia" w:ascii="宋体" w:hAnsi="Times New Roman"/>
                <w:sz w:val="18"/>
              </w:rPr>
              <w:t>黄变指数△YI ≤5.0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4"/>
            <w:tcBorders>
              <w:top w:val="single" w:color="auto" w:sz="8" w:space="0"/>
              <w:bottom w:val="single" w:color="auto" w:sz="8" w:space="0"/>
            </w:tcBorders>
            <w:shd w:val="clear" w:color="auto" w:fill="auto"/>
            <w:vAlign w:val="center"/>
          </w:tcPr>
          <w:p>
            <w:pPr>
              <w:pStyle w:val="182"/>
            </w:pPr>
            <w:r>
              <w:rPr>
                <w:rFonts w:hint="eastAsia"/>
              </w:rPr>
              <w:t>项目11 PCT老化性能、项目12紫外高温高湿老化性能为可选项目。</w:t>
            </w:r>
          </w:p>
          <w:p>
            <w:pPr>
              <w:pStyle w:val="182"/>
            </w:pPr>
            <w:r>
              <w:rPr>
                <w:rFonts w:hint="eastAsia"/>
              </w:rPr>
              <w:t>特殊规格相关项目按合同规定执行。</w:t>
            </w:r>
          </w:p>
          <w:p>
            <w:pPr>
              <w:pStyle w:val="182"/>
            </w:pPr>
            <w:r>
              <w:rPr>
                <w:rFonts w:hint="eastAsia"/>
              </w:rPr>
              <w:t>当系统电压大于1000</w:t>
            </w:r>
            <w:r>
              <w:t xml:space="preserve"> </w:t>
            </w:r>
            <w:r>
              <w:rPr>
                <w:rFonts w:hint="eastAsia"/>
              </w:rPr>
              <w:t>V，共挤胶膜耐电痕化指数由供需双方约定。</w:t>
            </w:r>
          </w:p>
        </w:tc>
      </w:tr>
    </w:tbl>
    <w:p>
      <w:pPr>
        <w:pStyle w:val="106"/>
        <w:spacing w:before="240" w:after="240"/>
      </w:pPr>
      <w:r>
        <w:rPr>
          <w:rFonts w:hint="eastAsia"/>
        </w:rPr>
        <w:t>试验方法</w:t>
      </w:r>
      <w:bookmarkEnd w:id="62"/>
      <w:bookmarkEnd w:id="63"/>
    </w:p>
    <w:p>
      <w:pPr>
        <w:pStyle w:val="107"/>
        <w:spacing w:before="120" w:after="120"/>
      </w:pPr>
      <w:bookmarkStart w:id="64" w:name="_Toc144800293"/>
      <w:bookmarkStart w:id="65" w:name="_Toc16720"/>
      <w:r>
        <w:rPr>
          <w:rFonts w:hint="eastAsia"/>
        </w:rPr>
        <w:t>取样方法</w:t>
      </w:r>
      <w:bookmarkEnd w:id="64"/>
      <w:bookmarkEnd w:id="65"/>
    </w:p>
    <w:p>
      <w:pPr>
        <w:pStyle w:val="58"/>
        <w:ind w:firstLine="420"/>
      </w:pPr>
      <w:r>
        <w:rPr>
          <w:rFonts w:hint="eastAsia"/>
        </w:rPr>
        <w:t>取一卷有代表性的成品作为供检验的胶膜，揭去最外面的3层～5层胶膜后，取卷内缠绕平整的胶膜段作为试样。</w:t>
      </w:r>
    </w:p>
    <w:p>
      <w:pPr>
        <w:pStyle w:val="107"/>
        <w:spacing w:before="120" w:after="120"/>
      </w:pPr>
      <w:bookmarkStart w:id="66" w:name="_Toc16782"/>
      <w:bookmarkStart w:id="67" w:name="_Toc144800294"/>
      <w:r>
        <w:rPr>
          <w:rFonts w:hint="eastAsia"/>
        </w:rPr>
        <w:t>试验条件</w:t>
      </w:r>
      <w:bookmarkEnd w:id="66"/>
      <w:bookmarkEnd w:id="67"/>
    </w:p>
    <w:p>
      <w:pPr>
        <w:pStyle w:val="58"/>
        <w:ind w:firstLine="420"/>
      </w:pPr>
      <w:r>
        <w:rPr>
          <w:rFonts w:hint="eastAsia"/>
        </w:rPr>
        <w:t>按GB/T 2918—1998的规定，试验环境温度23℃±2℃，相对湿度50%±5%，将试样在该试验条件下水平静置24</w:t>
      </w:r>
      <w:r>
        <w:t xml:space="preserve"> </w:t>
      </w:r>
      <w:r>
        <w:rPr>
          <w:rFonts w:hint="eastAsia"/>
        </w:rPr>
        <w:t>h以上，并在此条件下进行试验。</w:t>
      </w:r>
    </w:p>
    <w:p>
      <w:pPr>
        <w:pStyle w:val="107"/>
        <w:spacing w:before="120" w:after="120"/>
      </w:pPr>
      <w:bookmarkStart w:id="68" w:name="_Toc144800295"/>
      <w:bookmarkStart w:id="69" w:name="_Toc3421"/>
      <w:r>
        <w:rPr>
          <w:rFonts w:hint="eastAsia"/>
        </w:rPr>
        <w:t>规格及偏差的测定</w:t>
      </w:r>
      <w:bookmarkEnd w:id="68"/>
      <w:bookmarkEnd w:id="69"/>
    </w:p>
    <w:p>
      <w:pPr>
        <w:pStyle w:val="67"/>
        <w:spacing w:before="120" w:after="120"/>
      </w:pPr>
      <w:r>
        <w:rPr>
          <w:rFonts w:hint="eastAsia"/>
        </w:rPr>
        <w:t>整体厚度</w:t>
      </w:r>
    </w:p>
    <w:p>
      <w:pPr>
        <w:pStyle w:val="96"/>
        <w:spacing w:before="120" w:after="120"/>
      </w:pPr>
      <w:r>
        <w:rPr>
          <w:rFonts w:hint="eastAsia"/>
        </w:rPr>
        <w:t>仪器设备</w:t>
      </w:r>
    </w:p>
    <w:p>
      <w:pPr>
        <w:pStyle w:val="58"/>
        <w:ind w:firstLine="420"/>
      </w:pPr>
      <w:r>
        <w:rPr>
          <w:rFonts w:hint="eastAsia"/>
        </w:rPr>
        <w:t>测厚仪：分辨率为0.01 mm。</w:t>
      </w:r>
    </w:p>
    <w:p>
      <w:pPr>
        <w:pStyle w:val="96"/>
        <w:spacing w:before="120" w:after="120"/>
      </w:pPr>
      <w:r>
        <w:rPr>
          <w:rFonts w:hint="eastAsia"/>
        </w:rPr>
        <w:t>试验方法</w:t>
      </w:r>
    </w:p>
    <w:p>
      <w:pPr>
        <w:pStyle w:val="58"/>
        <w:ind w:firstLine="420"/>
      </w:pPr>
      <w:r>
        <w:rPr>
          <w:rFonts w:hint="eastAsia"/>
        </w:rPr>
        <w:t>按GB/T 6672—2001的规定，在距离样品纵向端部约1</w:t>
      </w:r>
      <w:r>
        <w:t xml:space="preserve"> </w:t>
      </w:r>
      <w:r>
        <w:rPr>
          <w:rFonts w:hint="eastAsia"/>
        </w:rPr>
        <w:t>m处，沿横向整个宽度截取试样。在距离边缘50</w:t>
      </w:r>
      <w:r>
        <w:t xml:space="preserve"> </w:t>
      </w:r>
      <w:r>
        <w:rPr>
          <w:rFonts w:hint="eastAsia"/>
        </w:rPr>
        <w:t>mm处开始采用测厚仪测量胶膜的整体厚度，在宽度方向上等分至少测5个点，结果取平均值。</w:t>
      </w:r>
    </w:p>
    <w:p>
      <w:pPr>
        <w:numPr>
          <w:ilvl w:val="3"/>
          <w:numId w:val="2"/>
        </w:numPr>
        <w:spacing w:before="120" w:beforeLines="50" w:after="120" w:afterLines="50"/>
        <w:outlineLvl w:val="2"/>
        <w:rPr>
          <w:rFonts w:ascii="黑体" w:hAnsi="Times New Roman" w:eastAsia="黑体"/>
        </w:rPr>
      </w:pPr>
      <w:r>
        <w:rPr>
          <w:rFonts w:hint="eastAsia" w:ascii="黑体" w:hAnsi="Times New Roman" w:eastAsia="黑体"/>
        </w:rPr>
        <w:t>P</w:t>
      </w:r>
      <w:r>
        <w:rPr>
          <w:rFonts w:ascii="黑体" w:hAnsi="Times New Roman" w:eastAsia="黑体"/>
        </w:rPr>
        <w:t>OE</w:t>
      </w:r>
      <w:r>
        <w:rPr>
          <w:rFonts w:hint="eastAsia" w:ascii="黑体" w:hAnsi="Times New Roman" w:eastAsia="黑体"/>
        </w:rPr>
        <w:t>层厚度偏差</w:t>
      </w:r>
    </w:p>
    <w:p>
      <w:pPr>
        <w:pStyle w:val="96"/>
        <w:spacing w:before="120" w:after="120"/>
      </w:pPr>
      <w:r>
        <w:rPr>
          <w:rFonts w:hint="eastAsia"/>
        </w:rPr>
        <w:t>仪器设备</w:t>
      </w:r>
    </w:p>
    <w:p>
      <w:pPr>
        <w:pStyle w:val="58"/>
        <w:ind w:firstLine="420"/>
      </w:pPr>
      <w:r>
        <w:rPr>
          <w:rFonts w:hint="eastAsia"/>
        </w:rPr>
        <w:t>带测距功能的扫描电镜或显微镜：分辨率至少1μm。</w:t>
      </w:r>
    </w:p>
    <w:p>
      <w:pPr>
        <w:pStyle w:val="96"/>
        <w:spacing w:before="120" w:after="120"/>
      </w:pPr>
      <w:r>
        <w:rPr>
          <w:rFonts w:hint="eastAsia"/>
        </w:rPr>
        <w:t>试验方法</w:t>
      </w:r>
    </w:p>
    <w:p>
      <w:pPr>
        <w:pStyle w:val="58"/>
        <w:ind w:firstLine="420"/>
      </w:pPr>
      <w:r>
        <w:rPr>
          <w:rFonts w:hint="eastAsia"/>
        </w:rPr>
        <w:t>在距离胶膜两侧边缘50</w:t>
      </w:r>
      <w:r>
        <w:t xml:space="preserve"> </w:t>
      </w:r>
      <w:r>
        <w:rPr>
          <w:rFonts w:hint="eastAsia"/>
        </w:rPr>
        <w:t>mm处开始取样，在宽度方向上等分至少在5个位置取样，每块试样尺寸为30mm×30mm，分别用刀片延宽度方向将试样割开，采用扫描电镜或显微镜对试样的截面进行测量，得到胶膜POE层的厚度，每块试样测试3个点，记录试样每个测试点的厚度</w:t>
      </w:r>
      <w:r>
        <w:rPr>
          <w:rFonts w:hint="eastAsia" w:ascii="Cambria Math" w:hAnsi="Cambria Math"/>
          <w:i/>
          <w:iCs/>
          <w:sz w:val="22"/>
          <w:szCs w:val="22"/>
        </w:rPr>
        <w:t>D</w:t>
      </w:r>
      <w:r>
        <w:rPr>
          <w:rFonts w:hint="eastAsia" w:ascii="Cambria Math" w:hAnsi="Cambria Math"/>
          <w:i/>
          <w:iCs/>
          <w:sz w:val="22"/>
          <w:szCs w:val="22"/>
          <w:vertAlign w:val="subscript"/>
        </w:rPr>
        <w:t>i</w:t>
      </w:r>
      <w:r>
        <w:rPr>
          <w:rFonts w:hint="eastAsia"/>
        </w:rPr>
        <w:t xml:space="preserve">，并计算所有测试点的POE层厚度平均值 </w:t>
      </w:r>
      <w:r>
        <w:rPr>
          <w:rFonts w:hint="eastAsia"/>
          <w:i/>
          <w:iCs/>
        </w:rPr>
        <w:t>D</w:t>
      </w:r>
      <w:r>
        <w:rPr>
          <w:rFonts w:hint="eastAsia"/>
          <w:i/>
          <w:iCs/>
          <w:vertAlign w:val="subscript"/>
        </w:rPr>
        <w:t>avg</w:t>
      </w:r>
      <w:r>
        <w:rPr>
          <w:rFonts w:hint="eastAsia"/>
        </w:rPr>
        <w:t>。</w:t>
      </w:r>
    </w:p>
    <w:p>
      <w:pPr>
        <w:pStyle w:val="96"/>
        <w:spacing w:before="120" w:after="120"/>
      </w:pPr>
      <w:r>
        <w:rPr>
          <w:rFonts w:hint="eastAsia"/>
        </w:rPr>
        <w:t>结果计算</w:t>
      </w:r>
    </w:p>
    <w:p>
      <w:pPr>
        <w:pStyle w:val="58"/>
        <w:ind w:firstLine="420"/>
      </w:pPr>
      <w:r>
        <w:rPr>
          <w:rFonts w:hint="eastAsia"/>
        </w:rPr>
        <w:t>按式（1）计算每个测试点POE层厚度偏差，数值以百分数表示，结果保留小数点后1位小数。试样的POE层厚度偏差取每个测试点偏差值的中值，并报告最小值和最大值。</w:t>
      </w:r>
    </w:p>
    <w:p>
      <w:pPr>
        <w:pStyle w:val="115"/>
      </w:pPr>
      <w:r>
        <w:tab/>
      </w:r>
      <m:oMath>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di</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avg</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avg</m:t>
                </m:r>
                <m:ctrlPr>
                  <w:rPr>
                    <w:rFonts w:ascii="Cambria Math" w:hAnsi="Cambria Math"/>
                    <w:i/>
                  </w:rPr>
                </m:ctrlPr>
              </m:sub>
            </m:sSub>
            <m:ctrlPr>
              <w:rPr>
                <w:rFonts w:ascii="Cambria Math" w:hAnsi="Cambria Math"/>
                <w:i/>
              </w:rPr>
            </m:ctrlPr>
          </m:den>
        </m:f>
        <m:r>
          <m:rPr/>
          <w:rPr>
            <w:rFonts w:ascii="Cambria Math" w:hAnsi="Cambria Math"/>
          </w:rPr>
          <m:t>×100%</m:t>
        </m:r>
      </m:oMath>
      <w:r>
        <w:rPr>
          <w:rFonts w:ascii="微软雅黑" w:hAnsi="微软雅黑" w:eastAsia="微软雅黑"/>
        </w:rPr>
        <w:tab/>
      </w:r>
      <w:r>
        <w:t>(</w:t>
      </w:r>
      <w:r>
        <w:rPr>
          <w:rFonts w:hint="eastAsia"/>
        </w:rPr>
        <w:t>1</w:t>
      </w:r>
      <w:r>
        <w:t>)</w:t>
      </w:r>
    </w:p>
    <w:p>
      <w:pPr>
        <w:pStyle w:val="58"/>
        <w:ind w:firstLine="420"/>
      </w:pPr>
      <w:r>
        <w:rPr>
          <w:rFonts w:hint="eastAsia"/>
        </w:rPr>
        <w:t>式中：</w:t>
      </w:r>
    </w:p>
    <w:p>
      <w:pPr>
        <w:pStyle w:val="58"/>
        <w:ind w:firstLine="420"/>
      </w:pPr>
      <w:r>
        <w:rPr>
          <w:rFonts w:hint="eastAsia" w:hAnsi="宋体" w:cs="宋体"/>
          <w:i/>
          <w:iCs/>
        </w:rPr>
        <w:t>D</w:t>
      </w:r>
      <w:r>
        <w:rPr>
          <w:rFonts w:hint="eastAsia" w:hAnsi="宋体" w:cs="宋体"/>
          <w:i/>
          <w:iCs/>
          <w:vertAlign w:val="subscript"/>
        </w:rPr>
        <w:t xml:space="preserve">di  </w:t>
      </w:r>
      <w:r>
        <w:rPr>
          <w:rFonts w:hint="eastAsia" w:hAnsi="宋体" w:cs="宋体"/>
          <w:i/>
          <w:iCs/>
          <w:sz w:val="22"/>
          <w:szCs w:val="22"/>
        </w:rPr>
        <w:t xml:space="preserve"> </w:t>
      </w:r>
      <w:r>
        <w:rPr>
          <w:rFonts w:hint="eastAsia" w:ascii="Cambria Math" w:hAnsi="Cambria Math"/>
          <w:i/>
          <w:iCs/>
          <w:sz w:val="22"/>
          <w:szCs w:val="22"/>
        </w:rPr>
        <w:t xml:space="preserve"> </w:t>
      </w:r>
      <w:r>
        <w:rPr>
          <w:rFonts w:ascii="Times New Roman"/>
        </w:rPr>
        <w:t>——</w:t>
      </w:r>
      <w:r>
        <w:rPr>
          <w:rFonts w:hint="eastAsia"/>
        </w:rPr>
        <w:t>每个测试点的POE层厚度偏差，用百分数表示；</w:t>
      </w:r>
    </w:p>
    <w:p>
      <w:pPr>
        <w:pStyle w:val="58"/>
        <w:ind w:firstLine="420"/>
      </w:pPr>
      <w:r>
        <w:rPr>
          <w:rFonts w:hint="eastAsia" w:hAnsi="宋体" w:cs="宋体"/>
          <w:i/>
          <w:iCs/>
        </w:rPr>
        <w:t>D</w:t>
      </w:r>
      <w:r>
        <w:rPr>
          <w:rFonts w:hint="eastAsia" w:hAnsi="宋体" w:cs="宋体"/>
          <w:i/>
          <w:iCs/>
          <w:vertAlign w:val="subscript"/>
        </w:rPr>
        <w:t>i</w:t>
      </w:r>
      <w:r>
        <w:rPr>
          <w:rFonts w:hint="eastAsia" w:hAnsi="宋体" w:cs="宋体"/>
          <w:vertAlign w:val="subscript"/>
        </w:rPr>
        <w:tab/>
      </w:r>
      <w:r>
        <w:rPr>
          <w:rFonts w:hint="eastAsia"/>
          <w:vertAlign w:val="subscript"/>
        </w:rPr>
        <w:t xml:space="preserve">  </w:t>
      </w:r>
      <w:r>
        <w:rPr>
          <w:rFonts w:ascii="Times New Roman"/>
        </w:rPr>
        <w:t>——</w:t>
      </w:r>
      <w:r>
        <w:rPr>
          <w:rFonts w:hint="eastAsia"/>
        </w:rPr>
        <w:t>试样每个点的POE层厚度测试值，单位为微米（μm）；</w:t>
      </w:r>
    </w:p>
    <w:p>
      <w:pPr>
        <w:pStyle w:val="58"/>
        <w:ind w:firstLine="420"/>
      </w:pPr>
      <w:r>
        <w:rPr>
          <w:rFonts w:hint="eastAsia" w:hAnsi="宋体" w:cs="宋体"/>
          <w:i/>
          <w:iCs/>
        </w:rPr>
        <w:t>D</w:t>
      </w:r>
      <w:r>
        <w:rPr>
          <w:rFonts w:hint="eastAsia" w:hAnsi="宋体" w:cs="宋体"/>
          <w:i/>
          <w:iCs/>
          <w:vertAlign w:val="subscript"/>
        </w:rPr>
        <w:t>avg</w:t>
      </w:r>
      <w:r>
        <w:tab/>
      </w:r>
      <w:r>
        <w:rPr>
          <w:rFonts w:hint="eastAsia"/>
        </w:rPr>
        <w:t xml:space="preserve"> </w:t>
      </w:r>
      <w:r>
        <w:rPr>
          <w:rFonts w:ascii="Times New Roman"/>
        </w:rPr>
        <w:t>——</w:t>
      </w:r>
      <w:r>
        <w:rPr>
          <w:rFonts w:hint="eastAsia"/>
        </w:rPr>
        <w:t>所有试样各点的POE层厚度平均值，单位为微米（μm）。</w:t>
      </w:r>
    </w:p>
    <w:p>
      <w:pPr>
        <w:numPr>
          <w:ilvl w:val="3"/>
          <w:numId w:val="2"/>
        </w:numPr>
        <w:spacing w:before="120" w:beforeLines="50" w:after="120" w:afterLines="50"/>
        <w:outlineLvl w:val="2"/>
        <w:rPr>
          <w:rFonts w:ascii="黑体" w:hAnsi="Times New Roman" w:eastAsia="黑体"/>
        </w:rPr>
      </w:pPr>
      <w:r>
        <w:rPr>
          <w:rFonts w:hint="eastAsia" w:ascii="黑体" w:hAnsi="Times New Roman" w:eastAsia="黑体"/>
        </w:rPr>
        <w:t>面密度偏差</w:t>
      </w:r>
    </w:p>
    <w:p>
      <w:pPr>
        <w:pStyle w:val="96"/>
        <w:spacing w:before="120" w:after="120"/>
      </w:pPr>
      <w:r>
        <w:rPr>
          <w:rFonts w:hint="eastAsia"/>
        </w:rPr>
        <w:t>仪器设备</w:t>
      </w:r>
    </w:p>
    <w:p>
      <w:pPr>
        <w:pStyle w:val="58"/>
        <w:ind w:firstLine="420"/>
      </w:pPr>
      <w:r>
        <w:rPr>
          <w:rFonts w:hint="eastAsia"/>
        </w:rPr>
        <w:t>仪器设备如下：</w:t>
      </w:r>
    </w:p>
    <w:p>
      <w:pPr>
        <w:pStyle w:val="176"/>
      </w:pPr>
      <w:r>
        <w:rPr>
          <w:rFonts w:hint="eastAsia"/>
        </w:rPr>
        <w:t>圆盘或方形取样器：取样面积100</w:t>
      </w:r>
      <w:r>
        <w:t xml:space="preserve"> </w:t>
      </w:r>
      <w:r>
        <w:rPr>
          <w:rFonts w:hint="eastAsia"/>
        </w:rPr>
        <w:t>cm</w:t>
      </w:r>
      <w:r>
        <w:rPr>
          <w:rFonts w:hint="eastAsia"/>
          <w:vertAlign w:val="superscript"/>
        </w:rPr>
        <w:t>2</w:t>
      </w:r>
      <w:r>
        <w:rPr>
          <w:rFonts w:hint="eastAsia"/>
        </w:rPr>
        <w:t>。</w:t>
      </w:r>
    </w:p>
    <w:p>
      <w:pPr>
        <w:pStyle w:val="176"/>
      </w:pPr>
      <w:r>
        <w:rPr>
          <w:rFonts w:hint="eastAsia"/>
        </w:rPr>
        <w:t>分析天平：精度为0.001</w:t>
      </w:r>
      <w:r>
        <w:t xml:space="preserve"> </w:t>
      </w:r>
      <w:r>
        <w:rPr>
          <w:rFonts w:hint="eastAsia"/>
        </w:rPr>
        <w:t>g。</w:t>
      </w:r>
    </w:p>
    <w:p>
      <w:pPr>
        <w:pStyle w:val="96"/>
        <w:spacing w:before="120" w:after="120"/>
      </w:pPr>
      <w:r>
        <w:rPr>
          <w:rFonts w:hint="eastAsia"/>
        </w:rPr>
        <w:t>试验方法</w:t>
      </w:r>
    </w:p>
    <w:p>
      <w:pPr>
        <w:pStyle w:val="58"/>
        <w:ind w:firstLine="420"/>
      </w:pPr>
      <w:r>
        <w:rPr>
          <w:rFonts w:hint="eastAsia"/>
        </w:rPr>
        <w:t>将样品放置在表面平整的橡胶垫上，在距离边缘50</w:t>
      </w:r>
      <w:r>
        <w:t xml:space="preserve"> </w:t>
      </w:r>
      <w:r>
        <w:rPr>
          <w:rFonts w:hint="eastAsia"/>
        </w:rPr>
        <w:t>mm处采用取样器取样，在共挤胶膜宽度方向上等分至少取5个试样，称量样品，计算每个试样的面密度(g/m</w:t>
      </w:r>
      <w:r>
        <w:rPr>
          <w:rFonts w:hint="eastAsia"/>
          <w:vertAlign w:val="superscript"/>
        </w:rPr>
        <w:t>2</w:t>
      </w:r>
      <w:r>
        <w:rPr>
          <w:rFonts w:hint="eastAsia"/>
        </w:rPr>
        <w:t>)。</w:t>
      </w:r>
    </w:p>
    <w:p>
      <w:pPr>
        <w:pStyle w:val="96"/>
        <w:spacing w:before="120" w:after="120"/>
      </w:pPr>
      <w:r>
        <w:rPr>
          <w:rFonts w:hint="eastAsia"/>
        </w:rPr>
        <w:t>结果计算</w:t>
      </w:r>
    </w:p>
    <w:p>
      <w:pPr>
        <w:pStyle w:val="58"/>
        <w:ind w:firstLine="420"/>
      </w:pPr>
      <w:r>
        <w:rPr>
          <w:rFonts w:hint="eastAsia"/>
        </w:rPr>
        <w:t>按式（2）计算每个试样的面密度偏差，数值以百分数表示，结果保留小数点后1位小数。样品的面密度偏差取每个试样偏差值的中值，并报告最小值和最大值。</w:t>
      </w:r>
    </w:p>
    <w:p>
      <w:pPr>
        <w:pStyle w:val="115"/>
      </w:pPr>
      <w:r>
        <w:tab/>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d</m:t>
            </m:r>
            <m:r>
              <m:rPr/>
              <w:rPr>
                <w:rFonts w:hint="eastAsia" w:ascii="Cambria Math" w:hAnsi="Cambria Math"/>
              </w:rPr>
              <m:t>i</m:t>
            </m:r>
            <m:ctrlPr>
              <w:rPr>
                <w:rFonts w:ascii="Cambria Math" w:hAnsi="Cambria Math"/>
                <w:i/>
              </w:rPr>
            </m:ctrlPr>
          </m:sub>
        </m:sSub>
        <m:r>
          <m:rPr/>
          <w:rPr>
            <w:rFonts w:ascii="Cambria Math" w:hAnsi="Cambria Math"/>
          </w:rPr>
          <m:t>=</m:t>
        </m:r>
        <m:f>
          <m:fPr>
            <m:ctrlPr>
              <w:rPr>
                <w:rFonts w:ascii="Cambria Math" w:hAnsi="Cambria Math"/>
                <w:i/>
              </w:rPr>
            </m:ctrlPr>
          </m:fPr>
          <m:num>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avg</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avg</m:t>
                </m:r>
                <m:ctrlPr>
                  <w:rPr>
                    <w:rFonts w:ascii="Cambria Math" w:hAnsi="Cambria Math"/>
                    <w:i/>
                  </w:rPr>
                </m:ctrlPr>
              </m:sub>
            </m:sSub>
            <m:ctrlPr>
              <w:rPr>
                <w:rFonts w:ascii="Cambria Math" w:hAnsi="Cambria Math"/>
                <w:i/>
              </w:rPr>
            </m:ctrlPr>
          </m:den>
        </m:f>
        <m:r>
          <m:rPr/>
          <w:rPr>
            <w:rFonts w:ascii="Cambria Math" w:hAnsi="Cambria Math"/>
          </w:rPr>
          <m:t>×100%</m:t>
        </m:r>
      </m:oMath>
      <w:r>
        <w:rPr>
          <w:rFonts w:ascii="微软雅黑" w:hAnsi="微软雅黑" w:eastAsia="微软雅黑"/>
        </w:rPr>
        <w:tab/>
      </w:r>
      <w:r>
        <w:t>(</w:t>
      </w:r>
      <w:r>
        <w:rPr>
          <w:rFonts w:hint="eastAsia"/>
        </w:rPr>
        <w:t>2</w:t>
      </w:r>
      <w:r>
        <w:t>)</w:t>
      </w:r>
    </w:p>
    <w:p>
      <w:pPr>
        <w:pStyle w:val="58"/>
        <w:ind w:firstLine="420"/>
      </w:pPr>
      <w:r>
        <w:rPr>
          <w:rFonts w:hint="eastAsia"/>
        </w:rPr>
        <w:t>式中：</w:t>
      </w:r>
    </w:p>
    <w:p>
      <w:pPr>
        <w:pStyle w:val="58"/>
        <w:ind w:firstLine="420"/>
      </w:pPr>
      <w:r>
        <w:rPr>
          <w:rFonts w:hint="eastAsia" w:hAnsi="宋体" w:cs="宋体"/>
          <w:i/>
          <w:iCs/>
        </w:rPr>
        <w:t>G</w:t>
      </w:r>
      <w:r>
        <w:rPr>
          <w:rFonts w:hint="eastAsia" w:hAnsi="宋体" w:cs="宋体"/>
          <w:i/>
          <w:iCs/>
          <w:vertAlign w:val="subscript"/>
        </w:rPr>
        <w:t>di</w:t>
      </w:r>
      <w:r>
        <w:rPr>
          <w:rFonts w:ascii="Cambria Math" w:hAnsi="Cambria Math"/>
          <w:i/>
          <w:iCs/>
          <w:sz w:val="22"/>
          <w:szCs w:val="22"/>
          <w:vertAlign w:val="subscript"/>
        </w:rPr>
        <w:t xml:space="preserve"> </w:t>
      </w:r>
      <w:r>
        <w:rPr>
          <w:rFonts w:hint="eastAsia" w:ascii="Cambria Math" w:hAnsi="Cambria Math"/>
          <w:i/>
          <w:iCs/>
          <w:sz w:val="22"/>
          <w:szCs w:val="22"/>
        </w:rPr>
        <w:t xml:space="preserve"> </w:t>
      </w:r>
      <w:r>
        <w:rPr>
          <w:rFonts w:hint="eastAsia" w:ascii="Cambria Math" w:hAnsi="Cambria Math"/>
          <w:i/>
          <w:iCs/>
          <w:sz w:val="22"/>
          <w:szCs w:val="22"/>
          <w:vertAlign w:val="subscript"/>
        </w:rPr>
        <w:t xml:space="preserve"> </w:t>
      </w:r>
      <w:r>
        <w:rPr>
          <w:rFonts w:ascii="Times New Roman"/>
        </w:rPr>
        <w:t>——</w:t>
      </w:r>
      <w:r>
        <w:rPr>
          <w:rFonts w:hint="eastAsia"/>
        </w:rPr>
        <w:t>每个试样的面密度偏差，用百分数表示；</w:t>
      </w:r>
    </w:p>
    <w:p>
      <w:pPr>
        <w:pStyle w:val="58"/>
        <w:ind w:firstLine="420"/>
      </w:pPr>
      <w:r>
        <w:rPr>
          <w:rFonts w:hint="eastAsia" w:hAnsi="宋体" w:cs="宋体"/>
          <w:i/>
          <w:iCs/>
        </w:rPr>
        <w:t>G</w:t>
      </w:r>
      <w:r>
        <w:rPr>
          <w:rFonts w:hint="eastAsia" w:hAnsi="宋体" w:cs="宋体"/>
          <w:i/>
          <w:iCs/>
          <w:vertAlign w:val="subscript"/>
        </w:rPr>
        <w:t>i</w:t>
      </w:r>
      <w:r>
        <w:rPr>
          <w:rFonts w:hint="eastAsia" w:ascii="Cambria Math" w:hAnsi="Cambria Math"/>
          <w:i/>
          <w:iCs/>
          <w:sz w:val="22"/>
          <w:szCs w:val="22"/>
        </w:rPr>
        <w:t xml:space="preserve">   </w:t>
      </w:r>
      <w:r>
        <w:rPr>
          <w:rFonts w:ascii="Times New Roman"/>
        </w:rPr>
        <w:t>——</w:t>
      </w:r>
      <w:r>
        <w:rPr>
          <w:rFonts w:hint="eastAsia"/>
        </w:rPr>
        <w:t>单个试样的面密度测试值，单位为克每平方米（g/m</w:t>
      </w:r>
      <w:r>
        <w:rPr>
          <w:rFonts w:hint="eastAsia"/>
          <w:vertAlign w:val="superscript"/>
        </w:rPr>
        <w:t>2</w:t>
      </w:r>
      <w:r>
        <w:rPr>
          <w:rFonts w:hint="eastAsia"/>
        </w:rPr>
        <w:t>）；</w:t>
      </w:r>
    </w:p>
    <w:p>
      <w:pPr>
        <w:pStyle w:val="58"/>
        <w:ind w:firstLine="420"/>
      </w:pPr>
      <w:r>
        <w:rPr>
          <w:rFonts w:hint="eastAsia" w:hAnsi="宋体" w:cs="宋体"/>
          <w:i/>
          <w:iCs/>
        </w:rPr>
        <w:t>G</w:t>
      </w:r>
      <w:r>
        <w:rPr>
          <w:rFonts w:hint="eastAsia" w:hAnsi="宋体" w:cs="宋体"/>
          <w:i/>
          <w:iCs/>
          <w:vertAlign w:val="subscript"/>
        </w:rPr>
        <w:t>avg</w:t>
      </w:r>
      <w:r>
        <w:rPr>
          <w:rFonts w:ascii="Cambria Math" w:hAnsi="Cambria Math"/>
          <w:i/>
          <w:iCs/>
          <w:sz w:val="22"/>
          <w:szCs w:val="22"/>
        </w:rPr>
        <w:tab/>
      </w:r>
      <w:r>
        <w:rPr>
          <w:rFonts w:hint="eastAsia" w:ascii="Cambria Math" w:hAnsi="Cambria Math"/>
          <w:i/>
          <w:iCs/>
          <w:sz w:val="22"/>
          <w:szCs w:val="22"/>
        </w:rPr>
        <w:t xml:space="preserve"> </w:t>
      </w:r>
      <w:r>
        <w:rPr>
          <w:rFonts w:ascii="Times New Roman"/>
        </w:rPr>
        <w:t>——</w:t>
      </w:r>
      <w:r>
        <w:rPr>
          <w:rFonts w:hint="eastAsia"/>
        </w:rPr>
        <w:t>所有试样的面密度平均值，单位为克每平方米（g/m</w:t>
      </w:r>
      <w:r>
        <w:rPr>
          <w:rFonts w:hint="eastAsia"/>
          <w:vertAlign w:val="superscript"/>
        </w:rPr>
        <w:t>2</w:t>
      </w:r>
      <w:r>
        <w:rPr>
          <w:rFonts w:hint="eastAsia"/>
        </w:rPr>
        <w:t>）。</w:t>
      </w:r>
    </w:p>
    <w:p>
      <w:pPr>
        <w:numPr>
          <w:ilvl w:val="3"/>
          <w:numId w:val="2"/>
        </w:numPr>
        <w:spacing w:before="120" w:beforeLines="50" w:after="120" w:afterLines="50"/>
        <w:outlineLvl w:val="2"/>
        <w:rPr>
          <w:rFonts w:ascii="黑体" w:hAnsi="Times New Roman" w:eastAsia="黑体"/>
        </w:rPr>
      </w:pPr>
      <w:r>
        <w:rPr>
          <w:rFonts w:hint="eastAsia" w:ascii="黑体" w:hAnsi="Times New Roman" w:eastAsia="黑体"/>
        </w:rPr>
        <w:t>密度</w:t>
      </w:r>
    </w:p>
    <w:p>
      <w:pPr>
        <w:pStyle w:val="58"/>
        <w:ind w:firstLine="420"/>
      </w:pPr>
      <w:r>
        <w:rPr>
          <w:rFonts w:hint="eastAsia"/>
        </w:rPr>
        <w:t>将共挤胶膜进行层压，得到表面平整无压花、无气泡的试样，按照GB/T 1033.1—2008 测定方法，对共挤胶膜试样的密度进行测定。每个样品至少测3组，取平均值。</w:t>
      </w:r>
    </w:p>
    <w:p>
      <w:pPr>
        <w:pStyle w:val="107"/>
        <w:spacing w:before="120" w:after="120"/>
      </w:pPr>
      <w:bookmarkStart w:id="70" w:name="_Toc144800296"/>
      <w:bookmarkStart w:id="71" w:name="_Toc8325"/>
      <w:r>
        <w:rPr>
          <w:rFonts w:hint="eastAsia"/>
        </w:rPr>
        <w:t>外观</w:t>
      </w:r>
      <w:bookmarkEnd w:id="70"/>
      <w:bookmarkEnd w:id="71"/>
    </w:p>
    <w:p>
      <w:pPr>
        <w:pStyle w:val="58"/>
        <w:ind w:firstLine="420"/>
      </w:pPr>
      <w:r>
        <w:rPr>
          <w:rFonts w:hint="eastAsia"/>
        </w:rPr>
        <w:t>共挤胶膜外观应在不低于1000</w:t>
      </w:r>
      <w:r>
        <w:t xml:space="preserve"> </w:t>
      </w:r>
      <w:r>
        <w:rPr>
          <w:rFonts w:hint="eastAsia"/>
        </w:rPr>
        <w:t>lux的照度下，目测检查，要求观察者视力正常或矫正视力0.8及以上，将共挤胶膜平铺于静置工作台上，观察者眼睛距离观察试样不超过0.6</w:t>
      </w:r>
      <w:r>
        <w:t xml:space="preserve"> </w:t>
      </w:r>
      <w:r>
        <w:rPr>
          <w:rFonts w:hint="eastAsia"/>
        </w:rPr>
        <w:t>m，并采用与工作台成45°进行观察。查看胶膜是否平整、无折痕、无污点、无可见杂质、无气泡、压花清晰。</w:t>
      </w:r>
    </w:p>
    <w:p>
      <w:pPr>
        <w:pStyle w:val="107"/>
        <w:spacing w:before="120" w:after="120"/>
      </w:pPr>
      <w:bookmarkStart w:id="72" w:name="_Toc11971"/>
      <w:bookmarkStart w:id="73" w:name="_Toc144800297"/>
      <w:r>
        <w:rPr>
          <w:rFonts w:hint="eastAsia"/>
        </w:rPr>
        <w:t>物理性能的测定</w:t>
      </w:r>
      <w:bookmarkEnd w:id="72"/>
      <w:bookmarkEnd w:id="73"/>
    </w:p>
    <w:p>
      <w:pPr>
        <w:pStyle w:val="67"/>
        <w:spacing w:before="120" w:after="120"/>
      </w:pPr>
      <w:r>
        <w:rPr>
          <w:rFonts w:hint="eastAsia"/>
        </w:rPr>
        <w:t>透光率</w:t>
      </w:r>
    </w:p>
    <w:p>
      <w:pPr>
        <w:pStyle w:val="96"/>
        <w:spacing w:before="120" w:after="120"/>
      </w:pPr>
      <w:r>
        <w:rPr>
          <w:rFonts w:hint="eastAsia"/>
        </w:rPr>
        <w:t>仪器设备</w:t>
      </w:r>
    </w:p>
    <w:p>
      <w:pPr>
        <w:pStyle w:val="58"/>
        <w:ind w:firstLine="420"/>
      </w:pPr>
      <w:r>
        <w:rPr>
          <w:rFonts w:hint="eastAsia"/>
        </w:rPr>
        <w:t>分光光度计：带积分球，积分球直径须大于90</w:t>
      </w:r>
      <w:r>
        <w:t xml:space="preserve"> </w:t>
      </w:r>
      <w:r>
        <w:rPr>
          <w:rFonts w:hint="eastAsia"/>
        </w:rPr>
        <w:t>mm。</w:t>
      </w:r>
    </w:p>
    <w:p>
      <w:pPr>
        <w:pStyle w:val="96"/>
        <w:spacing w:before="120" w:after="120"/>
      </w:pPr>
      <w:r>
        <w:rPr>
          <w:rFonts w:hint="eastAsia"/>
        </w:rPr>
        <w:t>试样制备</w:t>
      </w:r>
    </w:p>
    <w:p>
      <w:pPr>
        <w:pStyle w:val="58"/>
        <w:ind w:firstLine="420"/>
      </w:pPr>
      <w:r>
        <w:rPr>
          <w:rFonts w:hint="eastAsia"/>
        </w:rPr>
        <w:t>取1块尺寸50</w:t>
      </w:r>
      <w:r>
        <w:t xml:space="preserve"> </w:t>
      </w:r>
      <w:r>
        <w:rPr>
          <w:rFonts w:hint="eastAsia"/>
        </w:rPr>
        <w:t>mm×50</w:t>
      </w:r>
      <w:r>
        <w:t xml:space="preserve"> </w:t>
      </w:r>
      <w:r>
        <w:rPr>
          <w:rFonts w:hint="eastAsia"/>
        </w:rPr>
        <w:t>mm的共挤胶膜，从下到上依次按前板材料、不粘膜、共挤胶膜、不粘膜、背板材料叠合后，前板朝下放入层压机内，按产品要求的温度和时间进行层压，然后取出并冷却至室温待用。从不粘膜上取下的试样要求上下表面平整、厚度均匀，交联度达到指标要求。每组试样不少于3个。</w:t>
      </w:r>
    </w:p>
    <w:p>
      <w:pPr>
        <w:pStyle w:val="182"/>
        <w:numPr>
          <w:ilvl w:val="0"/>
          <w:numId w:val="32"/>
        </w:numPr>
      </w:pPr>
      <w:r>
        <w:rPr>
          <w:rFonts w:hint="eastAsia"/>
        </w:rPr>
        <w:t>前板材料和背板材料要与实际光伏组件所用的材料相一致。</w:t>
      </w:r>
    </w:p>
    <w:p>
      <w:pPr>
        <w:pStyle w:val="182"/>
        <w:numPr>
          <w:ilvl w:val="0"/>
          <w:numId w:val="27"/>
        </w:numPr>
      </w:pPr>
      <w:r>
        <w:rPr>
          <w:rFonts w:hint="eastAsia"/>
        </w:rPr>
        <w:t>不粘膜：要求层压过程中不与共挤胶膜反应，能耐受200℃以上高温，建议使用表面未经处理的ETFE膜，厚度范围50</w:t>
      </w:r>
      <w:r>
        <w:t xml:space="preserve"> </w:t>
      </w:r>
      <w:r>
        <w:rPr>
          <w:rFonts w:hint="eastAsia"/>
        </w:rPr>
        <w:t>μm</w:t>
      </w:r>
      <w:r>
        <w:rPr>
          <w:rFonts w:hint="eastAsia" w:hAnsi="宋体"/>
        </w:rPr>
        <w:t>～</w:t>
      </w:r>
      <w:r>
        <w:rPr>
          <w:rFonts w:hint="eastAsia"/>
        </w:rPr>
        <w:t>125</w:t>
      </w:r>
      <w:r>
        <w:t xml:space="preserve"> </w:t>
      </w:r>
      <w:r>
        <w:rPr>
          <w:rFonts w:hint="eastAsia"/>
        </w:rPr>
        <w:t>μm。</w:t>
      </w:r>
    </w:p>
    <w:p>
      <w:pPr>
        <w:pStyle w:val="96"/>
        <w:spacing w:before="120" w:after="120"/>
      </w:pPr>
      <w:r>
        <w:rPr>
          <w:rFonts w:hint="eastAsia"/>
        </w:rPr>
        <w:t>试验方法</w:t>
      </w:r>
    </w:p>
    <w:p>
      <w:pPr>
        <w:pStyle w:val="58"/>
        <w:ind w:firstLine="420"/>
      </w:pPr>
      <w:r>
        <w:rPr>
          <w:rFonts w:hint="eastAsia"/>
        </w:rPr>
        <w:t>按GB/T 2410—2008的分光光度计法测试试样的透光率。分光光度计的波长范围设置为</w:t>
      </w:r>
      <w:r>
        <w:t>290</w:t>
      </w:r>
      <w:r>
        <w:rPr>
          <w:rFonts w:hint="eastAsia"/>
        </w:rPr>
        <w:t>nm～</w:t>
      </w:r>
      <w:r>
        <w:t>110</w:t>
      </w:r>
      <w:r>
        <w:rPr>
          <w:rFonts w:hint="eastAsia"/>
        </w:rPr>
        <w:t>0nm。分别计算290</w:t>
      </w:r>
      <w:r>
        <w:t xml:space="preserve"> </w:t>
      </w:r>
      <w:r>
        <w:rPr>
          <w:rFonts w:hint="eastAsia"/>
        </w:rPr>
        <w:t>nm～380</w:t>
      </w:r>
      <w:r>
        <w:t xml:space="preserve"> </w:t>
      </w:r>
      <w:r>
        <w:rPr>
          <w:rFonts w:hint="eastAsia"/>
        </w:rPr>
        <w:t>nm和380</w:t>
      </w:r>
      <w:r>
        <w:t xml:space="preserve"> </w:t>
      </w:r>
      <w:r>
        <w:rPr>
          <w:rFonts w:hint="eastAsia"/>
        </w:rPr>
        <w:t>nm～1100</w:t>
      </w:r>
      <w:r>
        <w:t xml:space="preserve"> </w:t>
      </w:r>
      <w:r>
        <w:rPr>
          <w:rFonts w:hint="eastAsia"/>
        </w:rPr>
        <w:t>nm波段的透光率平均值。每组至少测试三个试样，结果取平均值。</w:t>
      </w:r>
    </w:p>
    <w:p>
      <w:pPr>
        <w:pStyle w:val="67"/>
        <w:spacing w:before="120" w:after="120"/>
      </w:pPr>
      <w:r>
        <w:rPr>
          <w:rFonts w:hint="eastAsia"/>
        </w:rPr>
        <w:t>交联度</w:t>
      </w:r>
    </w:p>
    <w:p>
      <w:pPr>
        <w:pStyle w:val="96"/>
        <w:spacing w:before="120" w:after="120"/>
      </w:pPr>
      <w:r>
        <w:rPr>
          <w:rFonts w:hint="eastAsia"/>
        </w:rPr>
        <w:t>试样制备</w:t>
      </w:r>
    </w:p>
    <w:p>
      <w:pPr>
        <w:pStyle w:val="58"/>
        <w:ind w:firstLine="420"/>
      </w:pPr>
      <w:r>
        <w:rPr>
          <w:rFonts w:hint="eastAsia"/>
        </w:rPr>
        <w:t>取两块尺寸为100</w:t>
      </w:r>
      <w:r>
        <w:t xml:space="preserve"> </w:t>
      </w:r>
      <w:r>
        <w:rPr>
          <w:rFonts w:hint="eastAsia"/>
        </w:rPr>
        <w:t>mm×100</w:t>
      </w:r>
      <w:r>
        <w:t xml:space="preserve"> </w:t>
      </w:r>
      <w:r>
        <w:rPr>
          <w:rFonts w:hint="eastAsia"/>
        </w:rPr>
        <w:t>mm的共挤胶膜，从下到上依次按前板材料、不粘膜、共挤胶膜（两层）、不粘膜、背板材料叠合后，按5.5.1.2层压处理。</w:t>
      </w:r>
    </w:p>
    <w:p>
      <w:pPr>
        <w:pStyle w:val="58"/>
        <w:ind w:firstLine="420"/>
      </w:pPr>
      <w:r>
        <w:rPr>
          <w:rFonts w:hint="eastAsia"/>
        </w:rPr>
        <w:t>在层压后的样品厚度均匀的位置剪取一块试样，并将其剪成尺寸小于3</w:t>
      </w:r>
      <w:r>
        <w:t xml:space="preserve"> </w:t>
      </w:r>
      <w:r>
        <w:rPr>
          <w:rFonts w:hint="eastAsia"/>
        </w:rPr>
        <w:t>mm×3</w:t>
      </w:r>
      <w:r>
        <w:t xml:space="preserve"> </w:t>
      </w:r>
      <w:r>
        <w:rPr>
          <w:rFonts w:hint="eastAsia"/>
        </w:rPr>
        <w:t>mm的小颗粒，称取0.5</w:t>
      </w:r>
      <w:r>
        <w:t xml:space="preserve"> </w:t>
      </w:r>
      <w:r>
        <w:rPr>
          <w:rFonts w:hint="eastAsia"/>
        </w:rPr>
        <w:t>g±0.01</w:t>
      </w:r>
      <w:r>
        <w:t xml:space="preserve"> </w:t>
      </w:r>
      <w:r>
        <w:rPr>
          <w:rFonts w:hint="eastAsia"/>
        </w:rPr>
        <w:t>g，每组试样制备3个。</w:t>
      </w:r>
    </w:p>
    <w:p>
      <w:pPr>
        <w:pStyle w:val="181"/>
      </w:pPr>
      <w:r>
        <w:rPr>
          <w:rFonts w:hint="eastAsia"/>
        </w:rPr>
        <w:t>前板材料和背板材料要与实际光伏组件所用的材料相一致。</w:t>
      </w:r>
    </w:p>
    <w:p>
      <w:pPr>
        <w:pStyle w:val="96"/>
        <w:spacing w:before="120" w:after="120"/>
      </w:pPr>
      <w:r>
        <w:rPr>
          <w:rFonts w:hint="eastAsia"/>
        </w:rPr>
        <w:t>试验方法</w:t>
      </w:r>
    </w:p>
    <w:p>
      <w:pPr>
        <w:pStyle w:val="58"/>
        <w:ind w:firstLine="420"/>
      </w:pPr>
      <w:r>
        <w:rPr>
          <w:rFonts w:hint="eastAsia"/>
        </w:rPr>
        <w:t>按照 GB/T 29848—2018中5.5.3.1二甲苯萃取法，对共挤胶膜的交联度进行测定。每块试样至少测3组，取平均值。</w:t>
      </w:r>
    </w:p>
    <w:p>
      <w:pPr>
        <w:pStyle w:val="67"/>
        <w:spacing w:before="120" w:after="120"/>
      </w:pPr>
      <w:r>
        <w:rPr>
          <w:rFonts w:hint="eastAsia"/>
        </w:rPr>
        <w:t>P</w:t>
      </w:r>
      <w:r>
        <w:t>OE</w:t>
      </w:r>
      <w:r>
        <w:rPr>
          <w:rFonts w:hint="eastAsia"/>
        </w:rPr>
        <w:t>质量占比</w:t>
      </w:r>
    </w:p>
    <w:p>
      <w:pPr>
        <w:pStyle w:val="96"/>
        <w:spacing w:before="120" w:after="120"/>
      </w:pPr>
      <w:r>
        <w:rPr>
          <w:rFonts w:hint="eastAsia"/>
        </w:rPr>
        <w:t>仪器设备</w:t>
      </w:r>
    </w:p>
    <w:p>
      <w:pPr>
        <w:pStyle w:val="58"/>
        <w:ind w:firstLine="420"/>
      </w:pPr>
      <w:r>
        <w:rPr>
          <w:rFonts w:hint="eastAsia"/>
        </w:rPr>
        <w:t>热重分析仪（TGA）。</w:t>
      </w:r>
    </w:p>
    <w:p>
      <w:pPr>
        <w:pStyle w:val="96"/>
        <w:spacing w:before="120" w:after="120"/>
      </w:pPr>
      <w:r>
        <w:rPr>
          <w:rFonts w:hint="eastAsia"/>
        </w:rPr>
        <w:t>试验方法</w:t>
      </w:r>
    </w:p>
    <w:p>
      <w:pPr>
        <w:pStyle w:val="58"/>
        <w:ind w:firstLine="420"/>
      </w:pPr>
      <w:r>
        <w:rPr>
          <w:rFonts w:hint="eastAsia"/>
        </w:rPr>
        <w:t>称取10 mg～20 mg未层压的共挤胶膜样品，采用热重分析仪，在高纯氮气气氛下，以20</w:t>
      </w:r>
      <w:r>
        <w:t xml:space="preserve"> </w:t>
      </w:r>
      <w:r>
        <w:rPr>
          <w:rFonts w:hint="eastAsia"/>
        </w:rPr>
        <w:t>℃/min的升温速率，从40</w:t>
      </w:r>
      <w:r>
        <w:t xml:space="preserve"> </w:t>
      </w:r>
      <w:r>
        <w:rPr>
          <w:rFonts w:hint="eastAsia"/>
        </w:rPr>
        <w:t>℃升温至600</w:t>
      </w:r>
      <w:r>
        <w:t xml:space="preserve"> </w:t>
      </w:r>
      <w:r>
        <w:rPr>
          <w:rFonts w:hint="eastAsia"/>
        </w:rPr>
        <w:t>℃，得到热重曲线。取第一热失重台阶的范围，起点为200</w:t>
      </w:r>
      <w:r>
        <w:t xml:space="preserve"> </w:t>
      </w:r>
      <w:r>
        <w:rPr>
          <w:rFonts w:hint="eastAsia"/>
        </w:rPr>
        <w:t>℃，终点为热重微分曲线的第一个峰与第二个峰之间的峰谷，得到共挤胶膜的第一热失重台阶失重率</w:t>
      </w:r>
      <w:r>
        <w:rPr>
          <w:rFonts w:hint="eastAsia"/>
          <w:i/>
          <w:iCs/>
        </w:rPr>
        <w:t>W</w:t>
      </w:r>
      <w:r>
        <w:rPr>
          <w:rFonts w:hint="eastAsia"/>
          <w:i/>
          <w:iCs/>
          <w:vertAlign w:val="subscript"/>
        </w:rPr>
        <w:t>1</w:t>
      </w:r>
      <w:r>
        <w:rPr>
          <w:rFonts w:hint="eastAsia"/>
        </w:rPr>
        <w:t>，共挤胶膜中所用EVA的VA含量由胶膜供应商提供，记为</w:t>
      </w:r>
      <w:r>
        <w:rPr>
          <w:rFonts w:hint="eastAsia"/>
          <w:i/>
          <w:iCs/>
        </w:rPr>
        <w:t>W</w:t>
      </w:r>
      <w:r>
        <w:rPr>
          <w:rFonts w:hint="eastAsia"/>
          <w:vertAlign w:val="subscript"/>
        </w:rPr>
        <w:t>2</w:t>
      </w:r>
      <w:r>
        <w:rPr>
          <w:rFonts w:hint="eastAsia"/>
        </w:rPr>
        <w:t>。</w:t>
      </w:r>
    </w:p>
    <w:p>
      <w:pPr>
        <w:pStyle w:val="96"/>
        <w:spacing w:before="120" w:after="120"/>
      </w:pPr>
      <w:r>
        <w:rPr>
          <w:rFonts w:hint="eastAsia"/>
        </w:rPr>
        <w:t>试验结果</w:t>
      </w:r>
    </w:p>
    <w:p>
      <w:pPr>
        <w:pStyle w:val="58"/>
        <w:ind w:firstLine="420"/>
      </w:pPr>
      <w:r>
        <w:rPr>
          <w:rFonts w:hint="eastAsia"/>
        </w:rPr>
        <w:t>共挤膜中POE质量占比按式（3）计算，精确至0.1 %。</w:t>
      </w:r>
    </w:p>
    <w:p>
      <w:pPr>
        <w:pStyle w:val="115"/>
      </w:pPr>
      <w:r>
        <w:tab/>
      </w:r>
      <m:oMath>
        <m:r>
          <m:rPr/>
          <w:rPr>
            <w:rFonts w:ascii="Cambria Math" w:hAnsi="Cambria Math"/>
          </w:rPr>
          <m:t>W(POE)=(1−</m:t>
        </m:r>
        <m:f>
          <m:fPr>
            <m:ctrlPr>
              <w:rPr>
                <w:rFonts w:ascii="Cambria Math" w:hAnsi="Cambria Math"/>
                <w:i/>
              </w:rPr>
            </m:ctrlPr>
          </m:fPr>
          <m:num>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×86</m:t>
            </m:r>
            <m:ctrlPr>
              <w:rPr>
                <w:rFonts w:ascii="Cambria Math" w:hAnsi="Cambria Math"/>
                <w:i/>
              </w:rPr>
            </m:ctrlPr>
          </m:num>
          <m:den>
            <m:r>
              <m:rPr/>
              <w:rPr>
                <w:rFonts w:ascii="Cambria Math" w:hAnsi="Cambria Math"/>
              </w:rPr>
              <m:t>60</m:t>
            </m:r>
            <m:ctrlPr>
              <w:rPr>
                <w:rFonts w:ascii="Cambria Math" w:hAnsi="Cambria Math"/>
                <w:i/>
              </w:rPr>
            </m:ctrlPr>
          </m:den>
        </m:f>
        <m:r>
          <m:rPr/>
          <w:rPr>
            <w:rFonts w:ascii="Cambria Math" w:hAnsi="Cambria Math"/>
          </w:rPr>
          <m:t>×</m:t>
        </m:r>
        <m:f>
          <m:fPr>
            <m:ctrlPr>
              <w:rPr>
                <w:rFonts w:ascii="Cambria Math" w:hAnsi="Cambria Math"/>
                <w:i/>
              </w:rPr>
            </m:ctrlPr>
          </m:fPr>
          <m:num>
            <m:r>
              <m:rPr/>
              <w:rPr>
                <w:rFonts w:ascii="Cambria Math" w:hAnsi="Cambria Math"/>
              </w:rPr>
              <m:t>1</m:t>
            </m:r>
            <m:ctrlPr>
              <w:rPr>
                <w:rFonts w:ascii="Cambria Math" w:hAnsi="Cambria Math"/>
                <w:i/>
              </w:rPr>
            </m:ctrlPr>
          </m:num>
          <m:den>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den>
        </m:f>
        <m:r>
          <m:rPr/>
          <w:rPr>
            <w:rFonts w:ascii="Cambria Math" w:hAnsi="Cambria Math"/>
          </w:rPr>
          <m:t>)×100%</m:t>
        </m:r>
      </m:oMath>
      <w:r>
        <w:rPr>
          <w:rFonts w:ascii="微软雅黑" w:hAnsi="微软雅黑" w:eastAsia="微软雅黑"/>
        </w:rPr>
        <w:tab/>
      </w:r>
      <w:r>
        <w:t>(</w:t>
      </w:r>
      <w:r>
        <w:rPr>
          <w:rFonts w:hint="eastAsia"/>
        </w:rPr>
        <w:t>3</w:t>
      </w:r>
      <w:r>
        <w:t>)</w:t>
      </w:r>
    </w:p>
    <w:p>
      <w:pPr>
        <w:pStyle w:val="58"/>
        <w:ind w:firstLine="420"/>
      </w:pPr>
      <w:r>
        <w:rPr>
          <w:rFonts w:hint="eastAsia"/>
        </w:rPr>
        <w:t>式中：</w:t>
      </w:r>
    </w:p>
    <w:p>
      <w:pPr>
        <w:pStyle w:val="58"/>
        <w:ind w:firstLine="420"/>
      </w:pPr>
      <w:r>
        <w:rPr>
          <w:rFonts w:hint="eastAsia" w:hAnsi="宋体" w:cs="宋体"/>
          <w:i/>
          <w:iCs/>
        </w:rPr>
        <w:t>W(POE)</w:t>
      </w:r>
      <w:r>
        <w:tab/>
      </w:r>
      <w:r>
        <w:rPr>
          <w:rFonts w:ascii="Times New Roman"/>
        </w:rPr>
        <w:t>——</w:t>
      </w:r>
      <w:r>
        <w:rPr>
          <w:rFonts w:hint="eastAsia"/>
        </w:rPr>
        <w:t xml:space="preserve">共挤胶膜中POE质量占比，用百分数表示； </w:t>
      </w:r>
    </w:p>
    <w:p>
      <w:pPr>
        <w:pStyle w:val="58"/>
        <w:ind w:firstLine="420"/>
      </w:pPr>
      <w:r>
        <w:rPr>
          <w:rFonts w:hint="eastAsia" w:hAnsi="宋体" w:cs="宋体"/>
          <w:i/>
          <w:iCs/>
        </w:rPr>
        <w:t>W</w:t>
      </w:r>
      <w:r>
        <w:rPr>
          <w:rFonts w:hint="eastAsia" w:hAnsi="宋体" w:cs="宋体"/>
          <w:i/>
          <w:iCs/>
          <w:vertAlign w:val="subscript"/>
        </w:rPr>
        <w:t>1</w:t>
      </w:r>
      <w:r>
        <w:rPr>
          <w:rFonts w:hint="eastAsia" w:ascii="Cambria Math" w:hAnsi="Cambria Math"/>
          <w:i/>
          <w:iCs/>
          <w:sz w:val="22"/>
          <w:szCs w:val="22"/>
        </w:rPr>
        <w:t xml:space="preserve"> </w:t>
      </w:r>
      <w:r>
        <w:tab/>
      </w:r>
      <w:r>
        <w:tab/>
      </w:r>
      <w:r>
        <w:rPr>
          <w:rFonts w:ascii="Times New Roman"/>
        </w:rPr>
        <w:t>——</w:t>
      </w:r>
      <w:r>
        <w:rPr>
          <w:rFonts w:hint="eastAsia"/>
        </w:rPr>
        <w:t xml:space="preserve">共挤胶膜的第一热失重台阶失重率，用百分数表示； </w:t>
      </w:r>
    </w:p>
    <w:p>
      <w:pPr>
        <w:pStyle w:val="58"/>
        <w:ind w:firstLine="420"/>
      </w:pPr>
      <w:r>
        <w:rPr>
          <w:rFonts w:hint="eastAsia" w:hAnsi="宋体" w:cs="宋体"/>
          <w:i/>
          <w:iCs/>
        </w:rPr>
        <w:t>W</w:t>
      </w:r>
      <w:r>
        <w:rPr>
          <w:rFonts w:hint="eastAsia" w:hAnsi="宋体" w:cs="宋体"/>
          <w:i/>
          <w:iCs/>
          <w:vertAlign w:val="subscript"/>
        </w:rPr>
        <w:t>2</w:t>
      </w:r>
      <w:r>
        <w:rPr>
          <w:rFonts w:hint="eastAsia"/>
        </w:rPr>
        <w:t xml:space="preserve"> </w:t>
      </w:r>
      <w:r>
        <w:tab/>
      </w:r>
      <w:r>
        <w:tab/>
      </w:r>
      <w:r>
        <w:rPr>
          <w:rFonts w:ascii="Times New Roman"/>
        </w:rPr>
        <w:t>——</w:t>
      </w:r>
      <w:r>
        <w:rPr>
          <w:rFonts w:hint="eastAsia"/>
        </w:rPr>
        <w:t>共挤胶膜中所用EVA的VA含量，用百分数表示；</w:t>
      </w:r>
    </w:p>
    <w:p>
      <w:pPr>
        <w:pStyle w:val="58"/>
        <w:ind w:firstLine="420"/>
      </w:pPr>
      <w:r>
        <w:rPr>
          <w:rFonts w:hint="eastAsia" w:hAnsi="宋体" w:cs="宋体"/>
          <w:i/>
          <w:iCs/>
        </w:rPr>
        <w:t>86</w:t>
      </w:r>
      <w:r>
        <w:tab/>
      </w:r>
      <w:r>
        <w:tab/>
      </w:r>
      <w:r>
        <w:rPr>
          <w:rFonts w:ascii="Times New Roman"/>
        </w:rPr>
        <w:t>——</w:t>
      </w:r>
      <w:r>
        <w:rPr>
          <w:rFonts w:hint="eastAsia"/>
        </w:rPr>
        <w:t>常数，醋酸乙烯酯的摩尔质量，单位为克每摩尔（g/mol）；</w:t>
      </w:r>
    </w:p>
    <w:p>
      <w:pPr>
        <w:pStyle w:val="58"/>
        <w:ind w:firstLine="420"/>
      </w:pPr>
      <w:r>
        <w:rPr>
          <w:rFonts w:hint="eastAsia" w:hAnsi="宋体" w:cs="宋体"/>
          <w:i/>
          <w:iCs/>
        </w:rPr>
        <w:t>60</w:t>
      </w:r>
      <w:r>
        <w:tab/>
      </w:r>
      <w:r>
        <w:tab/>
      </w:r>
      <w:r>
        <w:rPr>
          <w:rFonts w:ascii="Times New Roman"/>
        </w:rPr>
        <w:t>——</w:t>
      </w:r>
      <w:r>
        <w:rPr>
          <w:rFonts w:hint="eastAsia"/>
        </w:rPr>
        <w:t>常数，醋酸的摩尔质量，单位为克每摩尔（g/mol）。</w:t>
      </w:r>
    </w:p>
    <w:p>
      <w:pPr>
        <w:pStyle w:val="67"/>
        <w:spacing w:before="120" w:after="120"/>
      </w:pPr>
      <w:r>
        <w:rPr>
          <w:rFonts w:hint="eastAsia"/>
        </w:rPr>
        <w:t>与玻璃的剥离强度</w:t>
      </w:r>
    </w:p>
    <w:p>
      <w:pPr>
        <w:pStyle w:val="96"/>
        <w:spacing w:before="120" w:after="120"/>
      </w:pPr>
      <w:r>
        <w:rPr>
          <w:rFonts w:hint="eastAsia"/>
        </w:rPr>
        <w:t>仪器设备及辅材</w:t>
      </w:r>
    </w:p>
    <w:p>
      <w:pPr>
        <w:pStyle w:val="58"/>
        <w:ind w:firstLine="420"/>
      </w:pPr>
      <w:r>
        <w:rPr>
          <w:rFonts w:hint="eastAsia"/>
        </w:rPr>
        <w:t>仪器设备及辅材如下：</w:t>
      </w:r>
    </w:p>
    <w:p>
      <w:pPr>
        <w:pStyle w:val="176"/>
        <w:numPr>
          <w:ilvl w:val="0"/>
          <w:numId w:val="33"/>
        </w:numPr>
      </w:pPr>
      <w:r>
        <w:rPr>
          <w:rFonts w:hint="eastAsia"/>
        </w:rPr>
        <w:t>拉力试验机；</w:t>
      </w:r>
    </w:p>
    <w:p>
      <w:pPr>
        <w:pStyle w:val="176"/>
      </w:pPr>
      <w:r>
        <w:rPr>
          <w:rFonts w:hint="eastAsia"/>
        </w:rPr>
        <w:t>层压机；</w:t>
      </w:r>
    </w:p>
    <w:p>
      <w:pPr>
        <w:pStyle w:val="176"/>
      </w:pPr>
      <w:r>
        <w:rPr>
          <w:rFonts w:hint="eastAsia"/>
        </w:rPr>
        <w:t>超白压花钢化玻璃：表面应清洁平整，无污染，厚度为3.2</w:t>
      </w:r>
      <w:r>
        <w:t xml:space="preserve"> </w:t>
      </w:r>
      <w:r>
        <w:rPr>
          <w:rFonts w:hint="eastAsia"/>
        </w:rPr>
        <w:t>mm，</w:t>
      </w:r>
      <w:r>
        <w:t xml:space="preserve">380 </w:t>
      </w:r>
      <w:r>
        <w:rPr>
          <w:rFonts w:hint="eastAsia"/>
        </w:rPr>
        <w:t>nm～</w:t>
      </w:r>
      <w:r>
        <w:t>110</w:t>
      </w:r>
      <w:r>
        <w:rPr>
          <w:rFonts w:hint="eastAsia"/>
        </w:rPr>
        <w:t>0</w:t>
      </w:r>
      <w:r>
        <w:t xml:space="preserve"> </w:t>
      </w:r>
      <w:r>
        <w:rPr>
          <w:rFonts w:hint="eastAsia"/>
        </w:rPr>
        <w:t>nm波段的透射比不低于91.5%；</w:t>
      </w:r>
    </w:p>
    <w:p>
      <w:pPr>
        <w:pStyle w:val="176"/>
      </w:pPr>
      <w:r>
        <w:rPr>
          <w:rFonts w:hint="eastAsia"/>
        </w:rPr>
        <w:t>柔性背板：表面应清洁平整、无褶皱划痕脱层气泡杂物等，水蒸气透过率应小于2.0</w:t>
      </w:r>
      <w:r>
        <w:t xml:space="preserve"> </w:t>
      </w:r>
      <w:r>
        <w:rPr>
          <w:rFonts w:hint="eastAsia"/>
        </w:rPr>
        <w:t>g/(m</w:t>
      </w:r>
      <w:r>
        <w:rPr>
          <w:rFonts w:hint="eastAsia"/>
          <w:vertAlign w:val="superscript"/>
        </w:rPr>
        <w:t>2</w:t>
      </w:r>
      <w:r>
        <w:rPr>
          <w:rFonts w:hint="eastAsia"/>
        </w:rPr>
        <w:t>·24h)，背板自身不发生层间分离，断裂力大于300</w:t>
      </w:r>
      <w:r>
        <w:t xml:space="preserve"> </w:t>
      </w:r>
      <w:r>
        <w:rPr>
          <w:rFonts w:hint="eastAsia"/>
        </w:rPr>
        <w:t>N；</w:t>
      </w:r>
    </w:p>
    <w:p>
      <w:pPr>
        <w:pStyle w:val="176"/>
      </w:pPr>
      <w:r>
        <w:rPr>
          <w:rFonts w:hint="eastAsia"/>
        </w:rPr>
        <w:t>浮法平板半钢化玻璃: 表面应清洁平整，无污染，厚度为2.5</w:t>
      </w:r>
      <w:r>
        <w:t xml:space="preserve"> </w:t>
      </w:r>
      <w:r>
        <w:rPr>
          <w:rFonts w:hint="eastAsia"/>
        </w:rPr>
        <w:t>mm。</w:t>
      </w:r>
    </w:p>
    <w:p>
      <w:pPr>
        <w:pStyle w:val="96"/>
        <w:spacing w:before="120" w:after="120"/>
      </w:pPr>
      <w:r>
        <w:rPr>
          <w:rFonts w:hint="eastAsia"/>
        </w:rPr>
        <w:t>试样制备</w:t>
      </w:r>
    </w:p>
    <w:p>
      <w:pPr>
        <w:pStyle w:val="58"/>
        <w:ind w:firstLine="420"/>
      </w:pPr>
      <w:r>
        <w:rPr>
          <w:rFonts w:hint="eastAsia"/>
        </w:rPr>
        <w:t>试样制备步骤如下：</w:t>
      </w:r>
    </w:p>
    <w:p>
      <w:pPr>
        <w:pStyle w:val="176"/>
        <w:numPr>
          <w:ilvl w:val="0"/>
          <w:numId w:val="34"/>
        </w:numPr>
      </w:pPr>
      <w:r>
        <w:rPr>
          <w:rFonts w:hint="eastAsia"/>
        </w:rPr>
        <w:t>准备尺寸均为300</w:t>
      </w:r>
      <w:r>
        <w:t xml:space="preserve"> </w:t>
      </w:r>
      <w:r>
        <w:rPr>
          <w:rFonts w:hint="eastAsia"/>
        </w:rPr>
        <w:t>mm×150</w:t>
      </w:r>
      <w:r>
        <w:t xml:space="preserve"> </w:t>
      </w:r>
      <w:r>
        <w:rPr>
          <w:rFonts w:hint="eastAsia"/>
        </w:rPr>
        <w:t>mm的共挤胶膜两块、玻璃一块和柔性背板一块。</w:t>
      </w:r>
    </w:p>
    <w:p>
      <w:pPr>
        <w:pStyle w:val="176"/>
      </w:pPr>
      <w:r>
        <w:rPr>
          <w:rFonts w:hint="eastAsia"/>
        </w:rPr>
        <w:t>按照玻璃/共挤胶膜(两层)/柔性背板依次叠成组合件，在组合件头部的玻璃和胶膜之间垫上一条280</w:t>
      </w:r>
      <w:r>
        <w:t xml:space="preserve"> </w:t>
      </w:r>
      <w:r>
        <w:rPr>
          <w:rFonts w:hint="eastAsia"/>
        </w:rPr>
        <w:t>mm×50</w:t>
      </w:r>
      <w:r>
        <w:t xml:space="preserve"> </w:t>
      </w:r>
      <w:r>
        <w:rPr>
          <w:rFonts w:hint="eastAsia"/>
        </w:rPr>
        <w:t>mm尺寸的隔离纸，将组合件放入层压机内，按产品要求的温度和时间进行层压，得到的层压件内胶膜应无气泡且交联度达到指标要求。</w:t>
      </w:r>
    </w:p>
    <w:p>
      <w:pPr>
        <w:pStyle w:val="176"/>
      </w:pPr>
      <w:r>
        <w:rPr>
          <w:rFonts w:hint="eastAsia"/>
        </w:rPr>
        <w:t>在层压件的宽度方向上，每隔5</w:t>
      </w:r>
      <w:r>
        <w:t xml:space="preserve"> </w:t>
      </w:r>
      <w:r>
        <w:rPr>
          <w:rFonts w:hint="eastAsia"/>
        </w:rPr>
        <w:t>mm将柔性背板/共挤胶膜共同切割得到宽度为10</w:t>
      </w:r>
      <w:r>
        <w:t xml:space="preserve"> </w:t>
      </w:r>
      <w:r>
        <w:rPr>
          <w:rFonts w:hint="eastAsia"/>
        </w:rPr>
        <w:t>mm±0.5</w:t>
      </w:r>
      <w:r>
        <w:t xml:space="preserve"> </w:t>
      </w:r>
      <w:r>
        <w:rPr>
          <w:rFonts w:hint="eastAsia"/>
        </w:rPr>
        <w:t>mm的试样，一块层压件上至少割3条试样，用于共挤胶膜与玻璃之间剥离力测试。</w:t>
      </w:r>
    </w:p>
    <w:p>
      <w:pPr>
        <w:pStyle w:val="181"/>
        <w:ind w:left="737" w:leftChars="0" w:hanging="374" w:firstLineChars="0"/>
      </w:pPr>
      <w:r>
        <w:rPr>
          <w:rFonts w:hint="eastAsia"/>
        </w:rPr>
        <w:t>当共挤胶膜封装单玻组件时，制样用玻璃为超白压花钢化玻璃；当共挤胶膜封装双玻组件时，分别用超白压花钢化玻璃和浮法平板半钢化玻璃制样测试，浮法玻璃使用时非锡面朝胶膜。</w:t>
      </w:r>
    </w:p>
    <w:p>
      <w:pPr>
        <w:pStyle w:val="96"/>
        <w:spacing w:before="120" w:after="120"/>
      </w:pPr>
      <w:r>
        <w:rPr>
          <w:rFonts w:hint="eastAsia"/>
        </w:rPr>
        <w:t>试验方法</w:t>
      </w:r>
    </w:p>
    <w:p>
      <w:pPr>
        <w:pStyle w:val="58"/>
        <w:ind w:firstLine="420"/>
      </w:pPr>
      <w:r>
        <w:rPr>
          <w:rFonts w:hint="eastAsia"/>
        </w:rPr>
        <w:t>按GB/T 2790—1995的试验方法，拉力试验机以100</w:t>
      </w:r>
      <w:r>
        <w:t xml:space="preserve"> </w:t>
      </w:r>
      <w:r>
        <w:rPr>
          <w:rFonts w:hint="eastAsia"/>
        </w:rPr>
        <w:t>mm/min±10</w:t>
      </w:r>
      <w:r>
        <w:t xml:space="preserve"> </w:t>
      </w:r>
      <w:r>
        <w:rPr>
          <w:rFonts w:hint="eastAsia"/>
        </w:rPr>
        <w:t>mm/min的速度测量胶膜与玻璃之间的剥离力</w:t>
      </w:r>
      <w:r>
        <w:rPr>
          <w:rFonts w:hint="eastAsia"/>
          <w:i/>
          <w:iCs/>
        </w:rPr>
        <w:t>F</w:t>
      </w:r>
      <w:r>
        <w:rPr>
          <w:rFonts w:hint="eastAsia"/>
        </w:rPr>
        <w:t>，至少有25</w:t>
      </w:r>
      <w:r>
        <w:t xml:space="preserve"> </w:t>
      </w:r>
      <w:r>
        <w:rPr>
          <w:rFonts w:hint="eastAsia"/>
        </w:rPr>
        <w:t>mm胶接长度被剥离。记录平均剥离力</w:t>
      </w:r>
      <w:r>
        <w:rPr>
          <w:rFonts w:hint="eastAsia"/>
          <w:i/>
          <w:iCs/>
        </w:rPr>
        <w:t>F</w:t>
      </w:r>
      <w:r>
        <w:rPr>
          <w:rFonts w:hint="eastAsia"/>
        </w:rPr>
        <w:t>，同时记录试样的胶接破坏类型，即粘附破坏、内聚破坏或粘物破坏。</w:t>
      </w:r>
    </w:p>
    <w:p>
      <w:pPr>
        <w:pStyle w:val="181"/>
        <w:ind w:left="737" w:leftChars="0" w:hanging="374" w:firstLineChars="0"/>
      </w:pPr>
      <w:r>
        <w:rPr>
          <w:rFonts w:hint="eastAsia"/>
        </w:rPr>
        <w:t>测试过程中，应观察并判断试样的胶接破坏类型，当试样的剥离力曲线上，出现了多个数据台阶时，取最低台阶的平均剥离力值作为结果。当在测试最低台阶数据过程中，试样的破坏类型不是胶膜与玻璃的粘附破坏时，共挤胶膜与玻璃的剥离力结果应表示为“＞最低台阶平均剥离力值”。</w:t>
      </w:r>
    </w:p>
    <w:p>
      <w:pPr>
        <w:pStyle w:val="96"/>
        <w:spacing w:before="120" w:after="120"/>
      </w:pPr>
      <w:r>
        <w:rPr>
          <w:rFonts w:hint="eastAsia"/>
        </w:rPr>
        <w:t>试验结果</w:t>
      </w:r>
    </w:p>
    <w:p>
      <w:pPr>
        <w:pStyle w:val="58"/>
        <w:ind w:firstLine="420"/>
      </w:pPr>
      <w:r>
        <w:rPr>
          <w:rFonts w:hint="eastAsia"/>
        </w:rPr>
        <w:t>剥离强度按式（4）计算，取3个试样的算术平均值，精确至0.1 N/cm。</w:t>
      </w:r>
    </w:p>
    <w:p>
      <w:pPr>
        <w:pStyle w:val="115"/>
      </w:pPr>
      <w:r>
        <w:tab/>
      </w:r>
      <m:oMath>
        <m:sSub>
          <m:sSubPr>
            <m:ctrlPr>
              <w:rPr>
                <w:rFonts w:ascii="Cambria Math" w:hAnsi="Cambria Math"/>
                <w:i/>
              </w:rPr>
            </m:ctrlPr>
          </m:sSubPr>
          <m:e>
            <m:r>
              <m:rPr/>
              <w:rPr>
                <w:rFonts w:ascii="Cambria Math" w:hAnsi="Cambria Math"/>
              </w:rPr>
              <m:t>σ</m:t>
            </m:r>
            <m:ctrlPr>
              <w:rPr>
                <w:rFonts w:ascii="Cambria Math" w:hAnsi="Cambria Math"/>
                <w:i/>
              </w:rPr>
            </m:ctrlPr>
          </m:e>
          <m:sub>
            <m:r>
              <m:rPr/>
              <w:rPr>
                <w:rFonts w:ascii="Cambria Math" w:hAnsi="Cambria Math"/>
              </w:rPr>
              <m:t>180°</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F</m:t>
            </m:r>
            <m:ctrlPr>
              <w:rPr>
                <w:rFonts w:ascii="Cambria Math" w:hAnsi="Cambria Math"/>
                <w:i/>
              </w:rPr>
            </m:ctrlPr>
          </m:num>
          <m:den>
            <m:r>
              <m:rPr/>
              <w:rPr>
                <w:rFonts w:ascii="Cambria Math" w:hAnsi="Cambria Math"/>
              </w:rPr>
              <m:t>B</m:t>
            </m:r>
            <m:ctrlPr>
              <w:rPr>
                <w:rFonts w:ascii="Cambria Math" w:hAnsi="Cambria Math"/>
                <w:i/>
              </w:rPr>
            </m:ctrlPr>
          </m:den>
        </m:f>
      </m:oMath>
      <w:r>
        <w:rPr>
          <w:rFonts w:ascii="微软雅黑" w:hAnsi="微软雅黑" w:eastAsia="微软雅黑"/>
        </w:rPr>
        <w:tab/>
      </w:r>
      <w:r>
        <w:t>(</w:t>
      </w:r>
      <w:r>
        <w:rPr>
          <w:rFonts w:hint="eastAsia"/>
        </w:rPr>
        <w:t>4</w:t>
      </w:r>
      <w:r>
        <w:t>)</w:t>
      </w:r>
    </w:p>
    <w:p>
      <w:pPr>
        <w:pStyle w:val="58"/>
        <w:ind w:firstLine="420"/>
      </w:pPr>
      <w:r>
        <w:rPr>
          <w:rFonts w:hint="eastAsia"/>
        </w:rPr>
        <w:t>式中：</w:t>
      </w:r>
    </w:p>
    <w:p>
      <w:pPr>
        <w:pStyle w:val="58"/>
        <w:ind w:firstLine="420"/>
      </w:pPr>
      <w:r>
        <w:rPr>
          <w:rFonts w:hint="eastAsia" w:hAnsi="宋体" w:cs="宋体"/>
          <w:i/>
          <w:iCs/>
        </w:rPr>
        <w:t>σ</w:t>
      </w:r>
      <w:r>
        <w:rPr>
          <w:rFonts w:hint="eastAsia" w:hAnsi="宋体" w:cs="宋体"/>
          <w:i/>
          <w:iCs/>
          <w:vertAlign w:val="subscript"/>
        </w:rPr>
        <w:t>180°</w:t>
      </w:r>
      <w:r>
        <w:rPr>
          <w:rFonts w:hint="eastAsia" w:hAnsi="宋体" w:cs="宋体"/>
          <w:sz w:val="22"/>
          <w:szCs w:val="22"/>
          <w:vertAlign w:val="superscript"/>
        </w:rPr>
        <w:t xml:space="preserve"> </w:t>
      </w:r>
      <w:r>
        <w:rPr>
          <w:rFonts w:hint="eastAsia" w:ascii="Cambria Math" w:hAnsi="Cambria Math"/>
          <w:sz w:val="22"/>
          <w:szCs w:val="22"/>
          <w:vertAlign w:val="superscript"/>
        </w:rPr>
        <w:t xml:space="preserve">  </w:t>
      </w:r>
      <w:r>
        <w:rPr>
          <w:rFonts w:ascii="Times New Roman"/>
        </w:rPr>
        <w:t>——</w:t>
      </w:r>
      <w:r>
        <w:rPr>
          <w:rFonts w:hint="eastAsia"/>
        </w:rPr>
        <w:t>180°剥离强度，单位为牛顿每厘米（N/cm）；</w:t>
      </w:r>
    </w:p>
    <w:p>
      <w:pPr>
        <w:pStyle w:val="58"/>
        <w:ind w:firstLine="420"/>
      </w:pPr>
      <w:r>
        <w:rPr>
          <w:rFonts w:hint="eastAsia" w:hAnsi="宋体" w:cs="宋体"/>
          <w:i/>
          <w:iCs/>
        </w:rPr>
        <w:t>F</w:t>
      </w:r>
      <w:r>
        <w:rPr>
          <w:rFonts w:hint="eastAsia" w:hAnsi="宋体" w:cs="宋体"/>
          <w:i/>
          <w:iCs/>
          <w:sz w:val="22"/>
          <w:szCs w:val="22"/>
        </w:rPr>
        <w:t xml:space="preserve"> </w:t>
      </w:r>
      <w:r>
        <w:rPr>
          <w:rFonts w:ascii="Cambria Math" w:hAnsi="Cambria Math"/>
          <w:sz w:val="22"/>
          <w:szCs w:val="22"/>
          <w:vertAlign w:val="superscript"/>
        </w:rPr>
        <w:tab/>
      </w:r>
      <w:r>
        <w:rPr>
          <w:rFonts w:hint="eastAsia" w:ascii="Cambria Math" w:hAnsi="Cambria Math"/>
          <w:sz w:val="22"/>
          <w:szCs w:val="22"/>
          <w:vertAlign w:val="superscript"/>
        </w:rPr>
        <w:t xml:space="preserve">   </w:t>
      </w:r>
      <w:r>
        <w:rPr>
          <w:rFonts w:ascii="Times New Roman"/>
        </w:rPr>
        <w:t>——</w:t>
      </w:r>
      <w:r>
        <w:rPr>
          <w:rFonts w:hint="eastAsia"/>
        </w:rPr>
        <w:t>剥离力，单位为牛顿（N）；</w:t>
      </w:r>
    </w:p>
    <w:p>
      <w:pPr>
        <w:pStyle w:val="58"/>
        <w:ind w:firstLine="420"/>
      </w:pPr>
      <w:r>
        <w:rPr>
          <w:rFonts w:hint="eastAsia" w:hAnsi="宋体" w:cs="宋体"/>
          <w:i/>
          <w:iCs/>
        </w:rPr>
        <w:t>B</w:t>
      </w:r>
      <w:r>
        <w:rPr>
          <w:rFonts w:ascii="Cambria Math" w:hAnsi="Cambria Math"/>
          <w:vertAlign w:val="superscript"/>
        </w:rPr>
        <w:t xml:space="preserve"> </w:t>
      </w:r>
      <w:r>
        <w:rPr>
          <w:rFonts w:ascii="Cambria Math" w:hAnsi="Cambria Math"/>
          <w:sz w:val="22"/>
          <w:szCs w:val="22"/>
          <w:vertAlign w:val="superscript"/>
        </w:rPr>
        <w:tab/>
      </w:r>
      <w:r>
        <w:rPr>
          <w:rFonts w:hint="eastAsia" w:ascii="Cambria Math" w:hAnsi="Cambria Math"/>
          <w:sz w:val="22"/>
          <w:szCs w:val="22"/>
          <w:vertAlign w:val="superscript"/>
        </w:rPr>
        <w:t xml:space="preserve">   </w:t>
      </w:r>
      <w:r>
        <w:rPr>
          <w:rFonts w:ascii="Times New Roman"/>
        </w:rPr>
        <w:t>——</w:t>
      </w:r>
      <w:r>
        <w:rPr>
          <w:rFonts w:hint="eastAsia"/>
        </w:rPr>
        <w:t>试样宽度，单位为厘米（cm）。</w:t>
      </w:r>
    </w:p>
    <w:p>
      <w:pPr>
        <w:pStyle w:val="67"/>
        <w:spacing w:before="120" w:after="120"/>
      </w:pPr>
      <w:r>
        <w:rPr>
          <w:rFonts w:hint="eastAsia"/>
        </w:rPr>
        <w:t>收缩率</w:t>
      </w:r>
    </w:p>
    <w:p>
      <w:pPr>
        <w:pStyle w:val="96"/>
        <w:spacing w:before="120" w:after="120"/>
      </w:pPr>
      <w:r>
        <w:rPr>
          <w:rFonts w:hint="eastAsia"/>
        </w:rPr>
        <w:t>试样制备</w:t>
      </w:r>
    </w:p>
    <w:p>
      <w:pPr>
        <w:pStyle w:val="58"/>
        <w:ind w:firstLine="420"/>
      </w:pPr>
      <w:r>
        <w:rPr>
          <w:rFonts w:hint="eastAsia"/>
        </w:rPr>
        <w:t>取胶膜一块，按共挤胶膜的纵向长度200 mm和横向宽度100 mm的尺寸切割试样。分别在胶膜宽幅方向中间取一个和两侧距离边缘约 50</w:t>
      </w:r>
      <w:r>
        <w:t xml:space="preserve"> </w:t>
      </w:r>
      <w:r>
        <w:rPr>
          <w:rFonts w:hint="eastAsia"/>
        </w:rPr>
        <w:t>mm处各取1个试样，共制备3个试样。</w:t>
      </w:r>
    </w:p>
    <w:p>
      <w:pPr>
        <w:pStyle w:val="96"/>
        <w:spacing w:before="120" w:after="120"/>
      </w:pPr>
      <w:r>
        <w:rPr>
          <w:rFonts w:hint="eastAsia"/>
        </w:rPr>
        <w:t>试验方法</w:t>
      </w:r>
    </w:p>
    <w:p>
      <w:pPr>
        <w:pStyle w:val="58"/>
        <w:ind w:firstLine="420"/>
      </w:pPr>
      <w:r>
        <w:rPr>
          <w:rFonts w:hint="eastAsia"/>
        </w:rPr>
        <w:t>先将3.2</w:t>
      </w:r>
      <w:r>
        <w:t xml:space="preserve"> </w:t>
      </w:r>
      <w:r>
        <w:rPr>
          <w:rFonts w:hint="eastAsia"/>
        </w:rPr>
        <w:t>mm厚的压花玻璃的光面向上，将其放入预先升温至120℃的烘箱中或层压机热板表面，使其温度控制在120℃±5℃。然后将试样平展放在玻璃表面上，加热3 min 后，取出冷却至室温，测量距离最小处的长度（</w:t>
      </w:r>
      <w:r>
        <w:rPr>
          <w:rFonts w:hint="eastAsia"/>
          <w:i/>
          <w:iCs/>
        </w:rPr>
        <w:t>L</w:t>
      </w:r>
      <w:r>
        <w:rPr>
          <w:rFonts w:hint="eastAsia"/>
        </w:rPr>
        <w:t>，mm）和宽度（</w:t>
      </w:r>
      <w:r>
        <w:rPr>
          <w:rFonts w:hint="eastAsia"/>
          <w:i/>
          <w:iCs/>
        </w:rPr>
        <w:t>B</w:t>
      </w:r>
      <w:r>
        <w:rPr>
          <w:rFonts w:hint="eastAsia"/>
        </w:rPr>
        <w:t>，mm）。</w:t>
      </w:r>
    </w:p>
    <w:p>
      <w:pPr>
        <w:pStyle w:val="96"/>
        <w:spacing w:before="120" w:after="120"/>
      </w:pPr>
      <w:r>
        <w:rPr>
          <w:rFonts w:hint="eastAsia"/>
        </w:rPr>
        <w:t>试验结果</w:t>
      </w:r>
    </w:p>
    <w:p>
      <w:pPr>
        <w:pStyle w:val="58"/>
        <w:ind w:firstLine="420"/>
      </w:pPr>
      <w:r>
        <w:rPr>
          <w:rFonts w:hint="eastAsia"/>
        </w:rPr>
        <w:t>收缩率按式（5）和式（6）计算，取3组试样的算术平均值，精确至0.1%。</w:t>
      </w:r>
    </w:p>
    <w:p>
      <w:pPr>
        <w:pStyle w:val="115"/>
      </w:pPr>
      <w:r>
        <w:tab/>
      </w:r>
      <m:oMath>
        <m:r>
          <m:rPr/>
          <w:rPr>
            <w:rFonts w:hint="eastAsia" w:ascii="Cambria Math" w:hAnsi="Cambria Math"/>
          </w:rPr>
          <m:t>纵向</m:t>
        </m:r>
        <m:r>
          <m:rPr/>
          <w:rPr>
            <w:rFonts w:ascii="Cambria Math" w:hAnsi="Cambria Math"/>
          </w:rPr>
          <m:t>MD</m:t>
        </m:r>
        <m:r>
          <m:rPr/>
          <w:rPr>
            <w:rFonts w:hint="eastAsia"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MD</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200−L</m:t>
            </m:r>
            <m:ctrlPr>
              <w:rPr>
                <w:rFonts w:ascii="Cambria Math" w:hAnsi="Cambria Math"/>
                <w:i/>
              </w:rPr>
            </m:ctrlPr>
          </m:num>
          <m:den>
            <m:r>
              <m:rPr/>
              <w:rPr>
                <w:rFonts w:ascii="Cambria Math" w:hAnsi="Cambria Math"/>
              </w:rPr>
              <m:t>200</m:t>
            </m:r>
            <m:ctrlPr>
              <w:rPr>
                <w:rFonts w:ascii="Cambria Math" w:hAnsi="Cambria Math"/>
                <w:i/>
              </w:rPr>
            </m:ctrlPr>
          </m:den>
        </m:f>
        <m:r>
          <m:rPr/>
          <w:rPr>
            <w:rFonts w:ascii="Cambria Math" w:hAnsi="Cambria Math"/>
          </w:rPr>
          <m:t>×100%</m:t>
        </m:r>
      </m:oMath>
      <w:r>
        <w:rPr>
          <w:rFonts w:ascii="微软雅黑" w:hAnsi="微软雅黑" w:eastAsia="微软雅黑"/>
        </w:rPr>
        <w:tab/>
      </w:r>
      <w:r>
        <w:t>(</w:t>
      </w:r>
      <w:r>
        <w:rPr>
          <w:rFonts w:hint="eastAsia"/>
        </w:rPr>
        <w:t>5</w:t>
      </w:r>
      <w:r>
        <w:t>)</w:t>
      </w:r>
    </w:p>
    <w:p>
      <w:pPr>
        <w:snapToGrid w:val="0"/>
        <w:spacing w:line="240" w:lineRule="auto"/>
        <w:ind w:firstLine="420" w:firstLineChars="200"/>
        <w:rPr>
          <w:kern w:val="0"/>
        </w:rPr>
      </w:pPr>
    </w:p>
    <w:p>
      <w:pPr>
        <w:pStyle w:val="115"/>
      </w:pPr>
      <w:r>
        <w:tab/>
      </w:r>
      <m:oMath>
        <m:r>
          <m:rPr/>
          <w:rPr>
            <w:rFonts w:hint="eastAsia" w:ascii="Cambria Math" w:hAnsi="Cambria Math"/>
          </w:rPr>
          <m:t>横向</m:t>
        </m:r>
        <m:r>
          <m:rPr/>
          <w:rPr>
            <w:rFonts w:ascii="Cambria Math" w:hAnsi="Cambria Math"/>
          </w:rPr>
          <m:t>TD</m:t>
        </m:r>
        <m:r>
          <m:rPr/>
          <w:rPr>
            <w:rFonts w:hint="eastAsia"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TD</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100−B</m:t>
            </m:r>
            <m:ctrlPr>
              <w:rPr>
                <w:rFonts w:ascii="Cambria Math" w:hAnsi="Cambria Math"/>
                <w:i/>
              </w:rPr>
            </m:ctrlPr>
          </m:num>
          <m:den>
            <m:r>
              <m:rPr/>
              <w:rPr>
                <w:rFonts w:ascii="Cambria Math" w:hAnsi="Cambria Math"/>
              </w:rPr>
              <m:t>100</m:t>
            </m:r>
            <m:ctrlPr>
              <w:rPr>
                <w:rFonts w:ascii="Cambria Math" w:hAnsi="Cambria Math"/>
                <w:i/>
              </w:rPr>
            </m:ctrlPr>
          </m:den>
        </m:f>
        <m:r>
          <m:rPr/>
          <w:rPr>
            <w:rFonts w:ascii="Cambria Math" w:hAnsi="Cambria Math"/>
          </w:rPr>
          <m:t>×100%</m:t>
        </m:r>
      </m:oMath>
      <w:r>
        <w:rPr>
          <w:rFonts w:ascii="微软雅黑" w:hAnsi="微软雅黑" w:eastAsia="微软雅黑"/>
        </w:rPr>
        <w:tab/>
      </w:r>
      <w:r>
        <w:t>(</w:t>
      </w:r>
      <w:r>
        <w:rPr>
          <w:rFonts w:hint="eastAsia"/>
        </w:rPr>
        <w:t>6</w:t>
      </w:r>
      <w:r>
        <w:t>)</w:t>
      </w:r>
    </w:p>
    <w:p>
      <w:pPr>
        <w:pStyle w:val="58"/>
        <w:ind w:firstLine="420"/>
      </w:pPr>
      <w:r>
        <w:rPr>
          <w:rFonts w:hint="eastAsia"/>
        </w:rPr>
        <w:t>式中：</w:t>
      </w:r>
    </w:p>
    <w:p>
      <w:pPr>
        <w:pStyle w:val="58"/>
        <w:ind w:firstLine="440"/>
      </w:pPr>
      <w:r>
        <w:rPr>
          <w:rFonts w:hint="eastAsia" w:ascii="Cambria Math" w:hAnsi="Cambria Math"/>
          <w:i/>
          <w:iCs/>
          <w:sz w:val="22"/>
          <w:szCs w:val="22"/>
        </w:rPr>
        <w:t xml:space="preserve">C </w:t>
      </w:r>
      <w:r>
        <w:rPr>
          <w:rFonts w:ascii="Cambria Math" w:hAnsi="Cambria Math"/>
          <w:i/>
          <w:iCs/>
          <w:sz w:val="22"/>
          <w:szCs w:val="22"/>
        </w:rPr>
        <w:tab/>
      </w:r>
      <w:r>
        <w:rPr>
          <w:rFonts w:ascii="Times New Roman"/>
        </w:rPr>
        <w:t>——</w:t>
      </w:r>
      <w:r>
        <w:rPr>
          <w:rFonts w:hint="eastAsia"/>
        </w:rPr>
        <w:t xml:space="preserve">收缩率，用百分数表示； </w:t>
      </w:r>
    </w:p>
    <w:p>
      <w:pPr>
        <w:pStyle w:val="58"/>
        <w:ind w:firstLine="440"/>
      </w:pPr>
      <w:r>
        <w:rPr>
          <w:rFonts w:hint="eastAsia" w:ascii="Cambria Math" w:hAnsi="Cambria Math"/>
          <w:i/>
          <w:iCs/>
          <w:sz w:val="22"/>
          <w:szCs w:val="22"/>
        </w:rPr>
        <w:t>L</w:t>
      </w:r>
      <w:r>
        <w:rPr>
          <w:rFonts w:hint="eastAsia"/>
        </w:rPr>
        <w:t xml:space="preserve"> </w:t>
      </w:r>
      <w:r>
        <w:tab/>
      </w:r>
      <w:r>
        <w:rPr>
          <w:rFonts w:ascii="Times New Roman"/>
        </w:rPr>
        <w:t>——</w:t>
      </w:r>
      <w:r>
        <w:rPr>
          <w:rFonts w:hint="eastAsia"/>
        </w:rPr>
        <w:t>收缩后的长度，单位为毫米（mm）；</w:t>
      </w:r>
    </w:p>
    <w:p>
      <w:pPr>
        <w:pStyle w:val="58"/>
        <w:ind w:firstLine="440"/>
      </w:pPr>
      <w:r>
        <w:rPr>
          <w:rFonts w:hint="eastAsia" w:ascii="Cambria Math" w:hAnsi="Cambria Math"/>
          <w:i/>
          <w:iCs/>
          <w:sz w:val="22"/>
          <w:szCs w:val="22"/>
        </w:rPr>
        <w:t>B</w:t>
      </w:r>
      <w:r>
        <w:rPr>
          <w:rFonts w:hint="eastAsia"/>
        </w:rPr>
        <w:t xml:space="preserve"> </w:t>
      </w:r>
      <w:r>
        <w:tab/>
      </w:r>
      <w:r>
        <w:rPr>
          <w:rFonts w:ascii="Times New Roman"/>
        </w:rPr>
        <w:t>——</w:t>
      </w:r>
      <w:r>
        <w:rPr>
          <w:rFonts w:hint="eastAsia"/>
        </w:rPr>
        <w:t>收缩后的宽度，单位为毫米（mm）。</w:t>
      </w:r>
    </w:p>
    <w:p>
      <w:pPr>
        <w:pStyle w:val="67"/>
        <w:spacing w:before="120" w:after="120"/>
      </w:pPr>
      <w:r>
        <w:rPr>
          <w:rFonts w:hint="eastAsia"/>
        </w:rPr>
        <w:t>体积电阻率</w:t>
      </w:r>
    </w:p>
    <w:p>
      <w:pPr>
        <w:pStyle w:val="96"/>
        <w:spacing w:before="120" w:after="120"/>
      </w:pPr>
      <w:r>
        <w:rPr>
          <w:rFonts w:hint="eastAsia"/>
        </w:rPr>
        <w:t>仪器设备</w:t>
      </w:r>
    </w:p>
    <w:p>
      <w:pPr>
        <w:pStyle w:val="58"/>
        <w:ind w:firstLine="420"/>
      </w:pPr>
      <w:r>
        <w:rPr>
          <w:rFonts w:hint="eastAsia"/>
        </w:rPr>
        <w:t>高电阻测试仪：测试范围至少包含10</w:t>
      </w:r>
      <w:r>
        <w:rPr>
          <w:rFonts w:hint="eastAsia"/>
          <w:vertAlign w:val="superscript"/>
        </w:rPr>
        <w:t>12</w:t>
      </w:r>
      <w:r>
        <w:rPr>
          <w:rFonts w:hint="eastAsia"/>
        </w:rPr>
        <w:t>Ω·cm～10</w:t>
      </w:r>
      <w:r>
        <w:rPr>
          <w:rFonts w:hint="eastAsia"/>
          <w:vertAlign w:val="superscript"/>
        </w:rPr>
        <w:t>17</w:t>
      </w:r>
      <w:r>
        <w:rPr>
          <w:rFonts w:hint="eastAsia"/>
        </w:rPr>
        <w:t>Ω·cm。</w:t>
      </w:r>
    </w:p>
    <w:p>
      <w:pPr>
        <w:pStyle w:val="96"/>
        <w:spacing w:before="120" w:after="120"/>
      </w:pPr>
      <w:r>
        <w:rPr>
          <w:rFonts w:hint="eastAsia"/>
        </w:rPr>
        <w:t>试样制备</w:t>
      </w:r>
    </w:p>
    <w:p>
      <w:pPr>
        <w:pStyle w:val="58"/>
        <w:ind w:firstLine="420"/>
      </w:pPr>
      <w:r>
        <w:rPr>
          <w:rFonts w:hint="eastAsia"/>
        </w:rPr>
        <w:t>取尺寸为100</w:t>
      </w:r>
      <w:r>
        <w:t xml:space="preserve"> </w:t>
      </w:r>
      <w:r>
        <w:rPr>
          <w:rFonts w:hint="eastAsia"/>
        </w:rPr>
        <w:t>mm×100</w:t>
      </w:r>
      <w:r>
        <w:t xml:space="preserve"> </w:t>
      </w:r>
      <w:r>
        <w:rPr>
          <w:rFonts w:hint="eastAsia"/>
        </w:rPr>
        <w:t>mm的胶膜一块，按5.5.1.2层压处理，层压好的胶膜表面应平整无气泡和杂质。制备三个试样。</w:t>
      </w:r>
    </w:p>
    <w:p>
      <w:pPr>
        <w:pStyle w:val="96"/>
        <w:spacing w:before="120" w:after="120"/>
      </w:pPr>
      <w:r>
        <w:rPr>
          <w:rFonts w:hint="eastAsia"/>
        </w:rPr>
        <w:t>试验方法</w:t>
      </w:r>
    </w:p>
    <w:p>
      <w:pPr>
        <w:pStyle w:val="58"/>
        <w:ind w:firstLine="420"/>
      </w:pPr>
      <w:r>
        <w:rPr>
          <w:rFonts w:hint="eastAsia"/>
        </w:rPr>
        <w:t>试验方法如下：</w:t>
      </w:r>
    </w:p>
    <w:p>
      <w:pPr>
        <w:pStyle w:val="176"/>
        <w:numPr>
          <w:ilvl w:val="0"/>
          <w:numId w:val="35"/>
        </w:numPr>
      </w:pPr>
      <w:r>
        <w:rPr>
          <w:rFonts w:hint="eastAsia"/>
        </w:rPr>
        <w:t>将样品放到23℃±2℃，50%±5%RH的实验室内，至少放置48</w:t>
      </w:r>
      <w:r>
        <w:t xml:space="preserve"> </w:t>
      </w:r>
      <w:r>
        <w:rPr>
          <w:rFonts w:hint="eastAsia"/>
        </w:rPr>
        <w:t>h。</w:t>
      </w:r>
    </w:p>
    <w:p>
      <w:pPr>
        <w:pStyle w:val="176"/>
      </w:pPr>
      <w:r>
        <w:rPr>
          <w:rFonts w:hint="eastAsia"/>
        </w:rPr>
        <w:t>在23℃±2℃，50%±5%</w:t>
      </w:r>
      <w:r>
        <w:t xml:space="preserve"> </w:t>
      </w:r>
      <w:r>
        <w:rPr>
          <w:rFonts w:hint="eastAsia"/>
        </w:rPr>
        <w:t>RH的实验室环境中，按GB/T 31838.2—2019规定的要求，在1000V±2V，电化时间60</w:t>
      </w:r>
      <w:r>
        <w:t xml:space="preserve"> </w:t>
      </w:r>
      <w:r>
        <w:rPr>
          <w:rFonts w:hint="eastAsia"/>
        </w:rPr>
        <w:t>min条件下，进行试样体积电阻率的测试，测试3个试样，结果取平均值。</w:t>
      </w:r>
    </w:p>
    <w:p>
      <w:pPr>
        <w:pStyle w:val="67"/>
        <w:spacing w:before="120" w:after="120"/>
      </w:pPr>
      <w:r>
        <w:rPr>
          <w:rFonts w:hint="eastAsia"/>
        </w:rPr>
        <w:t>电气强度</w:t>
      </w:r>
    </w:p>
    <w:p>
      <w:pPr>
        <w:pStyle w:val="96"/>
        <w:spacing w:before="120" w:after="120"/>
      </w:pPr>
      <w:r>
        <w:rPr>
          <w:rFonts w:hint="eastAsia"/>
        </w:rPr>
        <w:t>仪器设备</w:t>
      </w:r>
    </w:p>
    <w:p>
      <w:pPr>
        <w:pStyle w:val="58"/>
        <w:ind w:firstLine="420"/>
      </w:pPr>
      <w:r>
        <w:rPr>
          <w:rFonts w:hint="eastAsia"/>
        </w:rPr>
        <w:t>仪器设备如下：</w:t>
      </w:r>
    </w:p>
    <w:p>
      <w:pPr>
        <w:pStyle w:val="176"/>
        <w:numPr>
          <w:ilvl w:val="0"/>
          <w:numId w:val="36"/>
        </w:numPr>
      </w:pPr>
      <w:r>
        <w:rPr>
          <w:rFonts w:hint="eastAsia"/>
        </w:rPr>
        <w:t>耐压测试仪；</w:t>
      </w:r>
    </w:p>
    <w:p>
      <w:pPr>
        <w:pStyle w:val="176"/>
      </w:pPr>
      <w:r>
        <w:rPr>
          <w:rFonts w:hint="eastAsia"/>
        </w:rPr>
        <w:t>测厚仪，最小刻度0.01</w:t>
      </w:r>
      <w:r>
        <w:t xml:space="preserve"> </w:t>
      </w:r>
      <w:r>
        <w:rPr>
          <w:rFonts w:hint="eastAsia"/>
        </w:rPr>
        <w:t>mm。</w:t>
      </w:r>
    </w:p>
    <w:p>
      <w:pPr>
        <w:pStyle w:val="96"/>
        <w:spacing w:before="120" w:after="120"/>
      </w:pPr>
      <w:r>
        <w:rPr>
          <w:rFonts w:hint="eastAsia"/>
        </w:rPr>
        <w:t>试样制备</w:t>
      </w:r>
    </w:p>
    <w:p>
      <w:pPr>
        <w:pStyle w:val="58"/>
        <w:ind w:firstLine="420"/>
      </w:pPr>
      <w:r>
        <w:rPr>
          <w:rFonts w:hint="eastAsia"/>
        </w:rPr>
        <w:t>取1块尺寸为200</w:t>
      </w:r>
      <w:r>
        <w:t xml:space="preserve"> </w:t>
      </w:r>
      <w:r>
        <w:rPr>
          <w:rFonts w:hint="eastAsia"/>
        </w:rPr>
        <w:t>mm×200</w:t>
      </w:r>
      <w:r>
        <w:t xml:space="preserve"> </w:t>
      </w:r>
      <w:r>
        <w:rPr>
          <w:rFonts w:hint="eastAsia"/>
        </w:rPr>
        <w:t>mm的共挤胶膜，按5.5.1.2层压处理，将层压后的共挤胶膜去边，剪下表面平整无气泡和杂质、尺寸为100</w:t>
      </w:r>
      <w:r>
        <w:t xml:space="preserve"> </w:t>
      </w:r>
      <w:r>
        <w:rPr>
          <w:rFonts w:hint="eastAsia"/>
        </w:rPr>
        <w:t>mm×100</w:t>
      </w:r>
      <w:r>
        <w:t xml:space="preserve"> </w:t>
      </w:r>
      <w:r>
        <w:rPr>
          <w:rFonts w:hint="eastAsia"/>
        </w:rPr>
        <w:t>mm的试样，制备5个试样。</w:t>
      </w:r>
    </w:p>
    <w:p>
      <w:pPr>
        <w:pStyle w:val="96"/>
        <w:spacing w:before="120" w:after="120"/>
      </w:pPr>
      <w:r>
        <w:rPr>
          <w:rFonts w:hint="eastAsia"/>
        </w:rPr>
        <w:t>试验方法</w:t>
      </w:r>
    </w:p>
    <w:p>
      <w:pPr>
        <w:pStyle w:val="58"/>
        <w:ind w:firstLine="420"/>
      </w:pPr>
      <w:r>
        <w:rPr>
          <w:rFonts w:hint="eastAsia"/>
        </w:rPr>
        <w:t>试验方法如下：</w:t>
      </w:r>
    </w:p>
    <w:p>
      <w:pPr>
        <w:pStyle w:val="176"/>
        <w:numPr>
          <w:ilvl w:val="0"/>
          <w:numId w:val="37"/>
        </w:numPr>
      </w:pPr>
      <w:r>
        <w:rPr>
          <w:rFonts w:hint="eastAsia"/>
        </w:rPr>
        <w:t>用测厚仪测量试样厚度，不同位置测量3次，取平均值作为该试样的厚度值。</w:t>
      </w:r>
    </w:p>
    <w:p>
      <w:pPr>
        <w:pStyle w:val="176"/>
      </w:pPr>
      <w:r>
        <w:rPr>
          <w:rFonts w:hint="eastAsia"/>
        </w:rPr>
        <w:t>按GB/T 1408.1—2016规定的要求，在工频下测试试样击穿电压，并计算试样电气强度。测试结果为取5个试样的平均值。</w:t>
      </w:r>
    </w:p>
    <w:p>
      <w:pPr>
        <w:pStyle w:val="67"/>
        <w:spacing w:before="120" w:after="120"/>
      </w:pPr>
      <w:r>
        <w:rPr>
          <w:rFonts w:hint="eastAsia"/>
        </w:rPr>
        <w:t>耐电痕化指数</w:t>
      </w:r>
    </w:p>
    <w:p>
      <w:pPr>
        <w:pStyle w:val="96"/>
        <w:spacing w:before="120" w:after="120"/>
      </w:pPr>
      <w:r>
        <w:rPr>
          <w:rFonts w:hint="eastAsia"/>
        </w:rPr>
        <w:t>试样制备</w:t>
      </w:r>
    </w:p>
    <w:p>
      <w:pPr>
        <w:pStyle w:val="58"/>
        <w:ind w:firstLine="420"/>
      </w:pPr>
      <w:r>
        <w:rPr>
          <w:rFonts w:hint="eastAsia"/>
        </w:rPr>
        <w:t>取共挤胶膜，按5.5.1.2层压处理，在表面平整、无气泡和杂质位置，剪下尺寸30</w:t>
      </w:r>
      <w:r>
        <w:t xml:space="preserve"> </w:t>
      </w:r>
      <w:r>
        <w:rPr>
          <w:rFonts w:hint="eastAsia"/>
        </w:rPr>
        <w:t>mm×30</w:t>
      </w:r>
      <w:r>
        <w:t xml:space="preserve"> </w:t>
      </w:r>
      <w:r>
        <w:rPr>
          <w:rFonts w:hint="eastAsia"/>
        </w:rPr>
        <w:t>mm的样品，用多个样品进行叠层，得到总厚度至少3</w:t>
      </w:r>
      <w:r>
        <w:t xml:space="preserve"> </w:t>
      </w:r>
      <w:r>
        <w:rPr>
          <w:rFonts w:hint="eastAsia"/>
        </w:rPr>
        <w:t>mm的1组试样，制备5组试样。</w:t>
      </w:r>
    </w:p>
    <w:p>
      <w:pPr>
        <w:pStyle w:val="96"/>
        <w:spacing w:before="120" w:after="120"/>
      </w:pPr>
      <w:r>
        <w:rPr>
          <w:rFonts w:hint="eastAsia"/>
        </w:rPr>
        <w:t>试验方法</w:t>
      </w:r>
    </w:p>
    <w:p>
      <w:pPr>
        <w:pStyle w:val="58"/>
        <w:ind w:firstLine="420"/>
      </w:pPr>
      <w:r>
        <w:rPr>
          <w:rFonts w:hint="eastAsia"/>
        </w:rPr>
        <w:t>按GB/T 4207—2022规定的要求，配置溶液A，在试样表面上，以30s±5s的速度滴加溶液A 50滴或100滴后，观察并记录5组试样外观情况，根据GB/T 4207—2022规定判断试样的耐电痕化指数（PTI）或相比电痕化指数（CTI）。</w:t>
      </w:r>
    </w:p>
    <w:p>
      <w:pPr>
        <w:pStyle w:val="67"/>
        <w:spacing w:before="120" w:after="120"/>
      </w:pPr>
      <w:r>
        <w:rPr>
          <w:rFonts w:hint="eastAsia"/>
        </w:rPr>
        <w:t>紫外老化性能</w:t>
      </w:r>
    </w:p>
    <w:p>
      <w:pPr>
        <w:pStyle w:val="96"/>
        <w:spacing w:before="120" w:after="120"/>
      </w:pPr>
      <w:r>
        <w:rPr>
          <w:rFonts w:hint="eastAsia"/>
        </w:rPr>
        <w:t>目的</w:t>
      </w:r>
    </w:p>
    <w:p>
      <w:pPr>
        <w:pStyle w:val="58"/>
        <w:ind w:firstLine="420"/>
      </w:pPr>
      <w:r>
        <w:rPr>
          <w:rFonts w:hint="eastAsia"/>
        </w:rPr>
        <w:t>用紫外加速老化试验来检验层压后的共挤胶膜层压件暴露在大气中耐大气光老化的性能。</w:t>
      </w:r>
    </w:p>
    <w:p>
      <w:pPr>
        <w:pStyle w:val="96"/>
        <w:spacing w:before="120" w:after="120"/>
      </w:pPr>
      <w:r>
        <w:rPr>
          <w:rFonts w:hint="eastAsia"/>
        </w:rPr>
        <w:t>仪器设备</w:t>
      </w:r>
    </w:p>
    <w:p>
      <w:pPr>
        <w:pStyle w:val="58"/>
        <w:ind w:firstLine="420"/>
      </w:pPr>
      <w:r>
        <w:rPr>
          <w:rFonts w:hint="eastAsia"/>
        </w:rPr>
        <w:t>仪器设备如下：</w:t>
      </w:r>
    </w:p>
    <w:p>
      <w:pPr>
        <w:pStyle w:val="176"/>
        <w:numPr>
          <w:ilvl w:val="0"/>
          <w:numId w:val="38"/>
        </w:numPr>
      </w:pPr>
      <w:r>
        <w:rPr>
          <w:rFonts w:hint="eastAsia"/>
        </w:rPr>
        <w:t>紫外试验箱，设备光源、紫外辐照计、温度传感器等符合IEC61215-2:2016中的要求；</w:t>
      </w:r>
    </w:p>
    <w:p>
      <w:pPr>
        <w:pStyle w:val="176"/>
      </w:pPr>
      <w:r>
        <w:rPr>
          <w:rFonts w:hint="eastAsia"/>
        </w:rPr>
        <w:t>测色仪；</w:t>
      </w:r>
    </w:p>
    <w:p>
      <w:pPr>
        <w:pStyle w:val="176"/>
      </w:pPr>
      <w:r>
        <w:rPr>
          <w:rFonts w:hint="eastAsia"/>
        </w:rPr>
        <w:t>拉力机。</w:t>
      </w:r>
    </w:p>
    <w:p>
      <w:pPr>
        <w:pStyle w:val="96"/>
        <w:spacing w:before="120" w:after="120"/>
      </w:pPr>
      <w:r>
        <w:rPr>
          <w:rFonts w:hint="eastAsia"/>
        </w:rPr>
        <w:t>辅材</w:t>
      </w:r>
    </w:p>
    <w:p>
      <w:pPr>
        <w:autoSpaceDE w:val="0"/>
        <w:autoSpaceDN w:val="0"/>
        <w:ind w:firstLine="420" w:firstLineChars="200"/>
        <w:rPr>
          <w:rFonts w:ascii="宋体" w:hAnsi="Times New Roman"/>
        </w:rPr>
      </w:pPr>
      <w:r>
        <w:rPr>
          <w:rFonts w:hint="eastAsia" w:ascii="宋体" w:hAnsi="Times New Roman"/>
        </w:rPr>
        <w:t>试验辅材如下：</w:t>
      </w:r>
    </w:p>
    <w:p>
      <w:pPr>
        <w:numPr>
          <w:ilvl w:val="0"/>
          <w:numId w:val="39"/>
        </w:numPr>
        <w:spacing w:line="240" w:lineRule="auto"/>
        <w:ind w:left="850" w:hanging="425"/>
        <w:rPr>
          <w:rFonts w:ascii="宋体" w:hAnsi="Times New Roman"/>
        </w:rPr>
      </w:pPr>
      <w:r>
        <w:rPr>
          <w:rFonts w:hint="eastAsia" w:ascii="宋体" w:hAnsi="Times New Roman"/>
        </w:rPr>
        <w:t>超白压花钢化玻璃：表面应清洁平整，无污染，厚度为3.2</w:t>
      </w:r>
      <w:r>
        <w:rPr>
          <w:rFonts w:ascii="宋体" w:hAnsi="Times New Roman"/>
        </w:rPr>
        <w:t xml:space="preserve"> </w:t>
      </w:r>
      <w:r>
        <w:rPr>
          <w:rFonts w:hint="eastAsia" w:ascii="宋体" w:hAnsi="Times New Roman"/>
        </w:rPr>
        <w:t>mm，在</w:t>
      </w:r>
      <w:r>
        <w:rPr>
          <w:rFonts w:ascii="宋体" w:hAnsi="Times New Roman"/>
        </w:rPr>
        <w:t xml:space="preserve">380 </w:t>
      </w:r>
      <w:r>
        <w:rPr>
          <w:rFonts w:hint="eastAsia" w:ascii="宋体" w:hAnsi="Times New Roman"/>
        </w:rPr>
        <w:t>nm～</w:t>
      </w:r>
      <w:r>
        <w:rPr>
          <w:rFonts w:ascii="宋体" w:hAnsi="Times New Roman"/>
        </w:rPr>
        <w:t>110</w:t>
      </w:r>
      <w:r>
        <w:rPr>
          <w:rFonts w:hint="eastAsia" w:ascii="宋体" w:hAnsi="Times New Roman"/>
        </w:rPr>
        <w:t>0</w:t>
      </w:r>
      <w:r>
        <w:rPr>
          <w:rFonts w:ascii="宋体" w:hAnsi="Times New Roman"/>
        </w:rPr>
        <w:t xml:space="preserve"> </w:t>
      </w:r>
      <w:r>
        <w:rPr>
          <w:rFonts w:hint="eastAsia" w:ascii="宋体" w:hAnsi="Times New Roman"/>
        </w:rPr>
        <w:t>nm波段透射比不低于91.5%，</w:t>
      </w:r>
      <w:r>
        <w:rPr>
          <w:rFonts w:ascii="宋体" w:hAnsi="Times New Roman"/>
        </w:rPr>
        <w:t>2</w:t>
      </w:r>
      <w:r>
        <w:rPr>
          <w:rFonts w:hint="eastAsia" w:ascii="宋体" w:hAnsi="Times New Roman"/>
        </w:rPr>
        <w:t>80</w:t>
      </w:r>
      <w:r>
        <w:rPr>
          <w:rFonts w:ascii="宋体" w:hAnsi="Times New Roman"/>
        </w:rPr>
        <w:t xml:space="preserve"> </w:t>
      </w:r>
      <w:r>
        <w:rPr>
          <w:rFonts w:hint="eastAsia" w:ascii="宋体" w:hAnsi="Times New Roman"/>
        </w:rPr>
        <w:t>nm～</w:t>
      </w:r>
      <w:r>
        <w:rPr>
          <w:rFonts w:ascii="宋体" w:hAnsi="Times New Roman"/>
        </w:rPr>
        <w:t>3</w:t>
      </w:r>
      <w:r>
        <w:rPr>
          <w:rFonts w:hint="eastAsia" w:ascii="宋体" w:hAnsi="Times New Roman"/>
        </w:rPr>
        <w:t>80</w:t>
      </w:r>
      <w:r>
        <w:rPr>
          <w:rFonts w:ascii="宋体" w:hAnsi="Times New Roman"/>
        </w:rPr>
        <w:t xml:space="preserve"> </w:t>
      </w:r>
      <w:r>
        <w:rPr>
          <w:rFonts w:hint="eastAsia" w:ascii="宋体" w:hAnsi="Times New Roman"/>
        </w:rPr>
        <w:t>nm波段透射比不低于75%。</w:t>
      </w:r>
    </w:p>
    <w:p>
      <w:pPr>
        <w:numPr>
          <w:ilvl w:val="0"/>
          <w:numId w:val="39"/>
        </w:numPr>
        <w:spacing w:line="240" w:lineRule="auto"/>
        <w:ind w:left="850" w:hanging="425"/>
        <w:rPr>
          <w:rFonts w:ascii="宋体" w:hAnsi="Times New Roman"/>
        </w:rPr>
      </w:pPr>
      <w:r>
        <w:rPr>
          <w:rFonts w:hint="eastAsia" w:ascii="宋体" w:hAnsi="Times New Roman"/>
        </w:rPr>
        <w:t>柔性背板：采用双面含氟材质，表面应清洁平整、无褶皱划痕脱层气泡杂物等，水蒸气透过率应小于2.0g/(m</w:t>
      </w:r>
      <w:r>
        <w:rPr>
          <w:rFonts w:hint="eastAsia" w:ascii="宋体" w:hAnsi="Times New Roman"/>
          <w:vertAlign w:val="superscript"/>
        </w:rPr>
        <w:t>2</w:t>
      </w:r>
      <w:r>
        <w:rPr>
          <w:rFonts w:hint="eastAsia" w:ascii="宋体" w:hAnsi="Times New Roman"/>
        </w:rPr>
        <w:t>·24h)，背板自身经过老化后，黄变指数小于2.0，不发生层间分离，断裂力大于200</w:t>
      </w:r>
      <w:r>
        <w:rPr>
          <w:rFonts w:ascii="宋体" w:hAnsi="Times New Roman"/>
        </w:rPr>
        <w:t xml:space="preserve"> </w:t>
      </w:r>
      <w:r>
        <w:rPr>
          <w:rFonts w:hint="eastAsia" w:ascii="宋体" w:hAnsi="Times New Roman"/>
        </w:rPr>
        <w:t>N。</w:t>
      </w:r>
    </w:p>
    <w:p>
      <w:pPr>
        <w:numPr>
          <w:ilvl w:val="0"/>
          <w:numId w:val="39"/>
        </w:numPr>
        <w:spacing w:line="240" w:lineRule="auto"/>
        <w:ind w:left="850" w:hanging="425"/>
        <w:rPr>
          <w:rFonts w:ascii="宋体" w:hAnsi="Times New Roman"/>
        </w:rPr>
      </w:pPr>
      <w:r>
        <w:rPr>
          <w:rFonts w:hint="eastAsia" w:ascii="宋体" w:hAnsi="Times New Roman"/>
        </w:rPr>
        <w:t>浮法平板半钢化玻璃: 表面应清洁平整，无污染，厚度为2.5</w:t>
      </w:r>
      <w:r>
        <w:rPr>
          <w:rFonts w:ascii="宋体" w:hAnsi="Times New Roman"/>
        </w:rPr>
        <w:t xml:space="preserve"> </w:t>
      </w:r>
      <w:r>
        <w:rPr>
          <w:rFonts w:hint="eastAsia" w:ascii="宋体" w:hAnsi="Times New Roman"/>
        </w:rPr>
        <w:t>mm，在380 nm～1100 nm波段透射比不低于 85%。</w:t>
      </w:r>
    </w:p>
    <w:p>
      <w:pPr>
        <w:numPr>
          <w:ilvl w:val="0"/>
          <w:numId w:val="39"/>
        </w:numPr>
        <w:spacing w:line="240" w:lineRule="auto"/>
        <w:ind w:left="850" w:hanging="425"/>
        <w:rPr>
          <w:rFonts w:ascii="宋体" w:hAnsi="Times New Roman"/>
        </w:rPr>
      </w:pPr>
      <w:r>
        <w:rPr>
          <w:rFonts w:hint="eastAsia" w:ascii="宋体" w:hAnsi="Times New Roman"/>
        </w:rPr>
        <w:t>其它辅材，与光伏组件实际所用的前板材料和背板材料相一致。</w:t>
      </w:r>
    </w:p>
    <w:p>
      <w:pPr>
        <w:pStyle w:val="96"/>
        <w:spacing w:before="120" w:after="120"/>
      </w:pPr>
      <w:r>
        <w:rPr>
          <w:rFonts w:hint="eastAsia"/>
        </w:rPr>
        <w:t>试验制备</w:t>
      </w:r>
    </w:p>
    <w:p>
      <w:pPr>
        <w:pStyle w:val="58"/>
        <w:ind w:firstLine="420"/>
      </w:pPr>
      <w:r>
        <w:rPr>
          <w:rFonts w:hint="eastAsia"/>
        </w:rPr>
        <w:t>取尺寸为300</w:t>
      </w:r>
      <w:r>
        <w:t xml:space="preserve"> </w:t>
      </w:r>
      <w:r>
        <w:rPr>
          <w:rFonts w:hint="eastAsia"/>
        </w:rPr>
        <w:t>mm×150</w:t>
      </w:r>
      <w:r>
        <w:t xml:space="preserve"> </w:t>
      </w:r>
      <w:r>
        <w:rPr>
          <w:rFonts w:hint="eastAsia"/>
        </w:rPr>
        <w:t>mm的共挤胶膜两块，从下到上依次按前板材料、共挤胶膜两块、背板材料叠合后，前板朝下放入层压机内，按产品要求的温度和时间进行层压，制得外观无缺陷的层压件试样，其中共挤胶膜的交联度应达到对应指标要求。</w:t>
      </w:r>
    </w:p>
    <w:p>
      <w:pPr>
        <w:pStyle w:val="96"/>
        <w:spacing w:before="120" w:after="120"/>
      </w:pPr>
      <w:r>
        <w:rPr>
          <w:rFonts w:hint="eastAsia"/>
        </w:rPr>
        <w:t>试验方法</w:t>
      </w:r>
    </w:p>
    <w:p>
      <w:pPr>
        <w:pStyle w:val="58"/>
        <w:ind w:firstLine="420"/>
      </w:pPr>
      <w:r>
        <w:rPr>
          <w:rFonts w:hint="eastAsia"/>
        </w:rPr>
        <w:t>按IEC 61215-2:2016中4.10的规定。试验方法如下：</w:t>
      </w:r>
    </w:p>
    <w:p>
      <w:pPr>
        <w:pStyle w:val="176"/>
        <w:numPr>
          <w:ilvl w:val="0"/>
          <w:numId w:val="40"/>
        </w:numPr>
      </w:pPr>
      <w:r>
        <w:rPr>
          <w:rFonts w:hint="eastAsia"/>
        </w:rPr>
        <w:t>将试样玻璃面朝向光源，放入紫外老化试验箱有效辐照区域内，试验条件：</w:t>
      </w:r>
    </w:p>
    <w:p>
      <w:pPr>
        <w:pStyle w:val="111"/>
        <w:ind w:left="1276"/>
      </w:pPr>
      <w:r>
        <w:rPr>
          <w:rFonts w:hint="eastAsia"/>
        </w:rPr>
        <w:t>紫外光谱分布：在波长400</w:t>
      </w:r>
      <w:r>
        <w:t xml:space="preserve"> </w:t>
      </w:r>
      <w:r>
        <w:rPr>
          <w:rFonts w:hint="eastAsia"/>
        </w:rPr>
        <w:t>nm～280</w:t>
      </w:r>
      <w:r>
        <w:t xml:space="preserve"> </w:t>
      </w:r>
      <w:r>
        <w:rPr>
          <w:rFonts w:hint="eastAsia"/>
        </w:rPr>
        <w:t>nm间的辐照强度为50</w:t>
      </w:r>
      <w:r>
        <w:t xml:space="preserve"> </w:t>
      </w:r>
      <w:r>
        <w:rPr>
          <w:rFonts w:hint="eastAsia"/>
        </w:rPr>
        <w:t>W/m</w:t>
      </w:r>
      <w:r>
        <w:rPr>
          <w:rFonts w:hint="eastAsia"/>
          <w:vertAlign w:val="superscript"/>
        </w:rPr>
        <w:t>2</w:t>
      </w:r>
      <w:r>
        <w:rPr>
          <w:rFonts w:hint="eastAsia"/>
        </w:rPr>
        <w:t>～150</w:t>
      </w:r>
      <w:r>
        <w:t xml:space="preserve"> </w:t>
      </w:r>
      <w:r>
        <w:rPr>
          <w:rFonts w:hint="eastAsia"/>
        </w:rPr>
        <w:t>W/m</w:t>
      </w:r>
      <w:r>
        <w:rPr>
          <w:rFonts w:hint="eastAsia"/>
          <w:vertAlign w:val="superscript"/>
        </w:rPr>
        <w:t>2</w:t>
      </w:r>
      <w:r>
        <w:rPr>
          <w:rFonts w:hint="eastAsia"/>
        </w:rPr>
        <w:t>，有效辐照区域内的光照均匀性在15%以内。320</w:t>
      </w:r>
      <w:r>
        <w:t xml:space="preserve"> </w:t>
      </w:r>
      <w:r>
        <w:rPr>
          <w:rFonts w:hint="eastAsia"/>
        </w:rPr>
        <w:t>nm～280</w:t>
      </w:r>
      <w:r>
        <w:t xml:space="preserve"> </w:t>
      </w:r>
      <w:r>
        <w:rPr>
          <w:rFonts w:hint="eastAsia"/>
        </w:rPr>
        <w:t>nm波段的辐照量占总辐照量的3%～10%；</w:t>
      </w:r>
    </w:p>
    <w:p>
      <w:pPr>
        <w:pStyle w:val="111"/>
        <w:ind w:left="1276"/>
      </w:pPr>
      <w:r>
        <w:rPr>
          <w:rFonts w:hint="eastAsia"/>
        </w:rPr>
        <w:t>在紫外辐照的同时，试验箱内试样表面温度保持在60℃±5℃；</w:t>
      </w:r>
    </w:p>
    <w:p>
      <w:pPr>
        <w:pStyle w:val="111"/>
        <w:ind w:left="1276"/>
      </w:pPr>
      <w:r>
        <w:rPr>
          <w:rFonts w:hint="eastAsia"/>
        </w:rPr>
        <w:t>辐照功率累积：按试样表面实际所受的辐照量进行累积。</w:t>
      </w:r>
    </w:p>
    <w:p>
      <w:pPr>
        <w:pStyle w:val="176"/>
        <w:ind w:left="851"/>
      </w:pPr>
      <w:r>
        <w:rPr>
          <w:rFonts w:hint="eastAsia"/>
        </w:rPr>
        <w:t>试验时间：以辐照功率累积的剂量计，120</w:t>
      </w:r>
      <w:r>
        <w:t xml:space="preserve"> </w:t>
      </w:r>
      <w:r>
        <w:rPr>
          <w:rFonts w:hint="eastAsia"/>
        </w:rPr>
        <w:t>kWh/m</w:t>
      </w:r>
      <w:r>
        <w:rPr>
          <w:rFonts w:hint="eastAsia"/>
          <w:vertAlign w:val="superscript"/>
        </w:rPr>
        <w:t>2</w:t>
      </w:r>
      <w:r>
        <w:rPr>
          <w:rFonts w:hint="eastAsia"/>
        </w:rPr>
        <w:t>。</w:t>
      </w:r>
    </w:p>
    <w:p>
      <w:pPr>
        <w:pStyle w:val="176"/>
        <w:ind w:left="851"/>
      </w:pPr>
      <w:r>
        <w:rPr>
          <w:rFonts w:hint="eastAsia"/>
        </w:rPr>
        <w:t>试验结束后将试样取出，在23℃±5℃，相对湿度小于75%的敞开环境下恢复2h～4h后，进行外观检查，要求没有外观缺陷。</w:t>
      </w:r>
    </w:p>
    <w:p>
      <w:pPr>
        <w:pStyle w:val="176"/>
        <w:ind w:left="851"/>
      </w:pPr>
      <w:r>
        <w:rPr>
          <w:rFonts w:hint="eastAsia"/>
        </w:rPr>
        <w:t>分别对试验前后层压件试样按ASTM E313-2010进行黄度指数YI测量，每块试样测不少于3个点，试样黄度指数YI取所测点的平均值，记录老化后黄度指数YI与老化前黄度指数YI的差值，即黄变指数△YI。对于采用柔性背板材料的层压样，按5.5.3的试验方法测量试验前后层压件中胶膜与玻璃之间的剥离强度。</w:t>
      </w:r>
    </w:p>
    <w:p>
      <w:pPr>
        <w:pStyle w:val="67"/>
        <w:spacing w:before="120" w:after="120"/>
      </w:pPr>
      <w:r>
        <w:rPr>
          <w:rFonts w:hint="eastAsia"/>
        </w:rPr>
        <w:t>湿热老化性能</w:t>
      </w:r>
    </w:p>
    <w:p>
      <w:pPr>
        <w:pStyle w:val="96"/>
        <w:spacing w:before="120" w:after="120"/>
      </w:pPr>
      <w:r>
        <w:rPr>
          <w:rFonts w:hint="eastAsia"/>
        </w:rPr>
        <w:t>目的</w:t>
      </w:r>
    </w:p>
    <w:p>
      <w:pPr>
        <w:pStyle w:val="58"/>
        <w:ind w:firstLine="420"/>
      </w:pPr>
      <w:r>
        <w:rPr>
          <w:rFonts w:hint="eastAsia"/>
        </w:rPr>
        <w:t>测定层压后的共挤胶膜层压件在高温高湿的恒定湿热条件下耐老化性能。</w:t>
      </w:r>
    </w:p>
    <w:p>
      <w:pPr>
        <w:pStyle w:val="96"/>
        <w:spacing w:before="120" w:after="120"/>
      </w:pPr>
      <w:r>
        <w:rPr>
          <w:rFonts w:hint="eastAsia"/>
        </w:rPr>
        <w:t>仪器设备及辅材</w:t>
      </w:r>
    </w:p>
    <w:p>
      <w:pPr>
        <w:pStyle w:val="58"/>
        <w:ind w:firstLine="420"/>
      </w:pPr>
      <w:r>
        <w:rPr>
          <w:rFonts w:hint="eastAsia"/>
        </w:rPr>
        <w:t>仪器设备及辅材如下：</w:t>
      </w:r>
    </w:p>
    <w:p>
      <w:pPr>
        <w:numPr>
          <w:ilvl w:val="0"/>
          <w:numId w:val="41"/>
        </w:numPr>
        <w:spacing w:line="240" w:lineRule="auto"/>
        <w:ind w:left="850" w:hanging="425"/>
        <w:rPr>
          <w:rFonts w:ascii="宋体" w:hAnsi="Times New Roman"/>
        </w:rPr>
      </w:pPr>
      <w:r>
        <w:rPr>
          <w:rFonts w:hint="eastAsia" w:ascii="宋体" w:hAnsi="Times New Roman"/>
        </w:rPr>
        <w:t>高温高湿老化试验箱；</w:t>
      </w:r>
    </w:p>
    <w:p>
      <w:pPr>
        <w:numPr>
          <w:ilvl w:val="0"/>
          <w:numId w:val="41"/>
        </w:numPr>
        <w:spacing w:line="240" w:lineRule="auto"/>
        <w:ind w:left="850" w:hanging="425"/>
        <w:rPr>
          <w:rFonts w:ascii="宋体" w:hAnsi="Times New Roman"/>
        </w:rPr>
      </w:pPr>
      <w:r>
        <w:rPr>
          <w:rFonts w:hint="eastAsia" w:ascii="宋体" w:hAnsi="Times New Roman"/>
        </w:rPr>
        <w:t>测色仪；</w:t>
      </w:r>
    </w:p>
    <w:p>
      <w:pPr>
        <w:numPr>
          <w:ilvl w:val="0"/>
          <w:numId w:val="41"/>
        </w:numPr>
        <w:spacing w:line="240" w:lineRule="auto"/>
        <w:ind w:left="850" w:hanging="425"/>
        <w:rPr>
          <w:rFonts w:ascii="宋体" w:hAnsi="Times New Roman"/>
        </w:rPr>
      </w:pPr>
      <w:r>
        <w:rPr>
          <w:rFonts w:hint="eastAsia" w:ascii="宋体" w:hAnsi="Times New Roman"/>
        </w:rPr>
        <w:t>拉力机；</w:t>
      </w:r>
    </w:p>
    <w:p>
      <w:pPr>
        <w:numPr>
          <w:ilvl w:val="0"/>
          <w:numId w:val="41"/>
        </w:numPr>
        <w:spacing w:line="240" w:lineRule="auto"/>
        <w:ind w:left="850" w:hanging="425"/>
        <w:rPr>
          <w:rFonts w:ascii="宋体" w:hAnsi="Times New Roman"/>
        </w:rPr>
      </w:pPr>
      <w:r>
        <w:rPr>
          <w:rFonts w:hint="eastAsia" w:ascii="宋体" w:hAnsi="Times New Roman"/>
        </w:rPr>
        <w:t>辅材，同5.5.9.3。</w:t>
      </w:r>
    </w:p>
    <w:p>
      <w:pPr>
        <w:pStyle w:val="96"/>
        <w:spacing w:before="120" w:after="120"/>
      </w:pPr>
      <w:r>
        <w:rPr>
          <w:rFonts w:hint="eastAsia"/>
        </w:rPr>
        <w:t>试样制备</w:t>
      </w:r>
    </w:p>
    <w:p>
      <w:pPr>
        <w:pStyle w:val="58"/>
        <w:ind w:firstLine="420"/>
      </w:pPr>
      <w:r>
        <w:rPr>
          <w:rFonts w:hint="eastAsia"/>
        </w:rPr>
        <w:t>取尺寸为300</w:t>
      </w:r>
      <w:r>
        <w:t xml:space="preserve"> </w:t>
      </w:r>
      <w:r>
        <w:rPr>
          <w:rFonts w:hint="eastAsia"/>
        </w:rPr>
        <w:t>mm×300</w:t>
      </w:r>
      <w:r>
        <w:t xml:space="preserve"> </w:t>
      </w:r>
      <w:r>
        <w:rPr>
          <w:rFonts w:hint="eastAsia"/>
        </w:rPr>
        <w:t>mm共挤胶膜两块，按5.5.9.4 要求制备层压件。</w:t>
      </w:r>
    </w:p>
    <w:p>
      <w:pPr>
        <w:pStyle w:val="96"/>
        <w:spacing w:before="120" w:after="120"/>
      </w:pPr>
      <w:r>
        <w:rPr>
          <w:rFonts w:hint="eastAsia"/>
        </w:rPr>
        <w:t>试验方法</w:t>
      </w:r>
    </w:p>
    <w:p>
      <w:pPr>
        <w:pStyle w:val="58"/>
        <w:ind w:firstLine="420"/>
      </w:pPr>
      <w:r>
        <w:rPr>
          <w:rFonts w:hint="eastAsia"/>
        </w:rPr>
        <w:t>按IEC 61215-2:2016中4.13的规定。试验方法如下：</w:t>
      </w:r>
    </w:p>
    <w:p>
      <w:pPr>
        <w:pStyle w:val="176"/>
        <w:numPr>
          <w:ilvl w:val="0"/>
          <w:numId w:val="42"/>
        </w:numPr>
        <w:ind w:left="850" w:hanging="425"/>
      </w:pPr>
      <w:r>
        <w:rPr>
          <w:rFonts w:hint="eastAsia"/>
        </w:rPr>
        <w:t>将所有试样放入高温高湿老化试验箱中，试验条件：温度85℃±2℃，相对湿度85%±5%；</w:t>
      </w:r>
    </w:p>
    <w:p>
      <w:pPr>
        <w:pStyle w:val="176"/>
        <w:numPr>
          <w:ilvl w:val="0"/>
          <w:numId w:val="43"/>
        </w:numPr>
        <w:ind w:left="850" w:hanging="425"/>
      </w:pPr>
      <w:r>
        <w:rPr>
          <w:rFonts w:hint="eastAsia"/>
        </w:rPr>
        <w:t>试验时间：1000</w:t>
      </w:r>
      <w:r>
        <w:t xml:space="preserve"> </w:t>
      </w:r>
      <w:r>
        <w:rPr>
          <w:rFonts w:hint="eastAsia"/>
        </w:rPr>
        <w:t>h；</w:t>
      </w:r>
    </w:p>
    <w:p>
      <w:pPr>
        <w:pStyle w:val="176"/>
        <w:numPr>
          <w:ilvl w:val="0"/>
          <w:numId w:val="43"/>
        </w:numPr>
        <w:ind w:left="850" w:hanging="425"/>
      </w:pPr>
      <w:r>
        <w:rPr>
          <w:rFonts w:hint="eastAsia"/>
        </w:rPr>
        <w:t>试验结束后将试样取出，在23℃±5℃，相对湿度小于75%的敞开环境下恢复2h～4h后，进行外观检查，要求没有外观缺陷；</w:t>
      </w:r>
    </w:p>
    <w:p>
      <w:pPr>
        <w:pStyle w:val="176"/>
        <w:numPr>
          <w:ilvl w:val="0"/>
          <w:numId w:val="43"/>
        </w:numPr>
        <w:ind w:left="850" w:hanging="425"/>
      </w:pPr>
      <w:r>
        <w:rPr>
          <w:rFonts w:hint="eastAsia"/>
        </w:rPr>
        <w:t>分别对试验前后层压件试样按ASTM E313-2010进行黄度指数YI测量，每块试样测不少于3个点，试样黄度指数YI取所测点的平均值，记录老化后黄度指数YI与老化前黄度指数YI的差值，即黄变指数△YI。对于采用柔性背板材料的层压样，按5.5.3的试验方法测量试验前后层压件中胶膜与玻璃之间的剥离强度。</w:t>
      </w:r>
    </w:p>
    <w:p>
      <w:pPr>
        <w:pStyle w:val="67"/>
        <w:spacing w:before="120" w:after="120"/>
      </w:pPr>
      <w:r>
        <w:rPr>
          <w:rFonts w:hint="eastAsia"/>
        </w:rPr>
        <w:t>P</w:t>
      </w:r>
      <w:r>
        <w:t>CT</w:t>
      </w:r>
      <w:r>
        <w:rPr>
          <w:rFonts w:hint="eastAsia"/>
        </w:rPr>
        <w:t>老化性能（可选项目）</w:t>
      </w:r>
    </w:p>
    <w:p>
      <w:pPr>
        <w:pStyle w:val="96"/>
        <w:spacing w:before="120" w:after="120"/>
      </w:pPr>
      <w:r>
        <w:rPr>
          <w:rFonts w:hint="eastAsia"/>
        </w:rPr>
        <w:t>目的</w:t>
      </w:r>
    </w:p>
    <w:p>
      <w:pPr>
        <w:pStyle w:val="58"/>
        <w:ind w:firstLine="420"/>
      </w:pPr>
      <w:r>
        <w:rPr>
          <w:rFonts w:hint="eastAsia"/>
        </w:rPr>
        <w:t>测定固化后的共挤胶膜层压件在高温高湿高压的恒定湿热条件下耐老化性能。</w:t>
      </w:r>
    </w:p>
    <w:p>
      <w:pPr>
        <w:widowControl/>
        <w:numPr>
          <w:ilvl w:val="4"/>
          <w:numId w:val="2"/>
        </w:numPr>
        <w:spacing w:before="120" w:beforeLines="50" w:after="120" w:afterLines="50"/>
        <w:outlineLvl w:val="3"/>
        <w:rPr>
          <w:rFonts w:ascii="黑体" w:hAnsi="Times New Roman" w:eastAsia="黑体"/>
        </w:rPr>
      </w:pPr>
      <w:r>
        <w:rPr>
          <w:rFonts w:hint="eastAsia" w:ascii="黑体" w:hAnsi="Times New Roman" w:eastAsia="黑体"/>
        </w:rPr>
        <w:t>仪器设备及辅材</w:t>
      </w:r>
    </w:p>
    <w:p>
      <w:pPr>
        <w:pStyle w:val="58"/>
        <w:ind w:firstLine="420"/>
      </w:pPr>
      <w:r>
        <w:rPr>
          <w:rFonts w:hint="eastAsia"/>
        </w:rPr>
        <w:t>仪器设备及辅材如下：</w:t>
      </w:r>
    </w:p>
    <w:p>
      <w:pPr>
        <w:numPr>
          <w:ilvl w:val="0"/>
          <w:numId w:val="44"/>
        </w:numPr>
        <w:tabs>
          <w:tab w:val="left" w:pos="851"/>
        </w:tabs>
        <w:spacing w:line="240" w:lineRule="auto"/>
        <w:ind w:left="850" w:hanging="425"/>
        <w:rPr>
          <w:rFonts w:ascii="宋体" w:hAnsi="Times New Roman"/>
        </w:rPr>
      </w:pPr>
      <w:r>
        <w:rPr>
          <w:rFonts w:hint="eastAsia" w:ascii="宋体" w:hAnsi="Times New Roman"/>
        </w:rPr>
        <w:t>高温高压蒸煮老化试验箱；</w:t>
      </w:r>
    </w:p>
    <w:p>
      <w:pPr>
        <w:numPr>
          <w:ilvl w:val="0"/>
          <w:numId w:val="44"/>
        </w:numPr>
        <w:tabs>
          <w:tab w:val="left" w:pos="851"/>
        </w:tabs>
        <w:spacing w:line="240" w:lineRule="auto"/>
        <w:ind w:left="850" w:hanging="425"/>
        <w:rPr>
          <w:rFonts w:ascii="宋体" w:hAnsi="Times New Roman"/>
        </w:rPr>
      </w:pPr>
      <w:r>
        <w:rPr>
          <w:rFonts w:hint="eastAsia" w:ascii="宋体" w:hAnsi="Times New Roman"/>
        </w:rPr>
        <w:t>测色仪；</w:t>
      </w:r>
    </w:p>
    <w:p>
      <w:pPr>
        <w:numPr>
          <w:ilvl w:val="0"/>
          <w:numId w:val="44"/>
        </w:numPr>
        <w:tabs>
          <w:tab w:val="left" w:pos="851"/>
        </w:tabs>
        <w:spacing w:line="240" w:lineRule="auto"/>
        <w:ind w:left="850" w:hanging="425"/>
        <w:rPr>
          <w:rFonts w:ascii="宋体" w:hAnsi="Times New Roman"/>
        </w:rPr>
      </w:pPr>
      <w:r>
        <w:rPr>
          <w:rFonts w:hint="eastAsia" w:ascii="宋体" w:hAnsi="Times New Roman"/>
        </w:rPr>
        <w:t>拉力机；</w:t>
      </w:r>
    </w:p>
    <w:p>
      <w:pPr>
        <w:numPr>
          <w:ilvl w:val="0"/>
          <w:numId w:val="44"/>
        </w:numPr>
        <w:tabs>
          <w:tab w:val="left" w:pos="851"/>
        </w:tabs>
        <w:spacing w:line="240" w:lineRule="auto"/>
        <w:ind w:left="850" w:hanging="425"/>
        <w:rPr>
          <w:rFonts w:ascii="宋体" w:hAnsi="Times New Roman"/>
        </w:rPr>
      </w:pPr>
      <w:r>
        <w:rPr>
          <w:rFonts w:hint="eastAsia" w:ascii="宋体" w:hAnsi="Times New Roman"/>
        </w:rPr>
        <w:t>辅材，同5.5.9.3。</w:t>
      </w:r>
    </w:p>
    <w:p>
      <w:pPr>
        <w:pStyle w:val="96"/>
        <w:spacing w:before="120" w:after="120"/>
      </w:pPr>
      <w:r>
        <w:rPr>
          <w:rFonts w:hint="eastAsia"/>
        </w:rPr>
        <w:t>试样制备</w:t>
      </w:r>
    </w:p>
    <w:p>
      <w:pPr>
        <w:pStyle w:val="58"/>
        <w:ind w:firstLine="420"/>
      </w:pPr>
      <w:r>
        <w:rPr>
          <w:rFonts w:hint="eastAsia"/>
        </w:rPr>
        <w:t>取尺寸为300mm×300mm 共挤胶膜两块，按5.5.9.4 要求制备层压件。</w:t>
      </w:r>
    </w:p>
    <w:p>
      <w:pPr>
        <w:pStyle w:val="96"/>
        <w:spacing w:before="120" w:after="120"/>
      </w:pPr>
      <w:r>
        <w:rPr>
          <w:rFonts w:hint="eastAsia"/>
        </w:rPr>
        <w:t>试验方法</w:t>
      </w:r>
    </w:p>
    <w:p>
      <w:pPr>
        <w:autoSpaceDE w:val="0"/>
        <w:autoSpaceDN w:val="0"/>
        <w:ind w:firstLine="420" w:firstLineChars="200"/>
        <w:rPr>
          <w:rFonts w:ascii="宋体" w:hAnsi="Times New Roman"/>
        </w:rPr>
      </w:pPr>
      <w:r>
        <w:rPr>
          <w:rFonts w:hint="eastAsia" w:ascii="宋体" w:hAnsi="Times New Roman"/>
        </w:rPr>
        <w:t>试验方法如下：</w:t>
      </w:r>
    </w:p>
    <w:p>
      <w:pPr>
        <w:pStyle w:val="176"/>
        <w:numPr>
          <w:ilvl w:val="0"/>
          <w:numId w:val="45"/>
        </w:numPr>
      </w:pPr>
      <w:r>
        <w:rPr>
          <w:rFonts w:hint="eastAsia"/>
        </w:rPr>
        <w:t>将试样放入PCT老化试验箱中，试验条件：温度121℃±0.5℃，相对湿度99%～100%。</w:t>
      </w:r>
    </w:p>
    <w:p>
      <w:pPr>
        <w:pStyle w:val="176"/>
        <w:numPr>
          <w:ilvl w:val="0"/>
          <w:numId w:val="45"/>
        </w:numPr>
      </w:pPr>
      <w:r>
        <w:rPr>
          <w:rFonts w:hint="eastAsia"/>
        </w:rPr>
        <w:t>试验时间：48h。</w:t>
      </w:r>
    </w:p>
    <w:p>
      <w:pPr>
        <w:pStyle w:val="176"/>
        <w:numPr>
          <w:ilvl w:val="0"/>
          <w:numId w:val="45"/>
        </w:numPr>
      </w:pPr>
      <w:r>
        <w:rPr>
          <w:rFonts w:hint="eastAsia"/>
        </w:rPr>
        <w:t>试验结束后将试样取出，在23℃±5℃，相对湿度小于75%的敞开环境下恢复2h～4h后，进行外观检查，要求没有外观缺陷。</w:t>
      </w:r>
    </w:p>
    <w:p>
      <w:pPr>
        <w:pStyle w:val="176"/>
      </w:pPr>
      <w:r>
        <w:rPr>
          <w:rFonts w:hint="eastAsia"/>
        </w:rPr>
        <w:t>分别对试验前后层压件试样按ASTM E313-2010进行黄度指数YI测量，每块试样测不少于3个点，试样黄度指数YI取所测点的平均值，记录老化后黄度指数YI与老化前黄度指数YI的差值，即黄变指数△YI。对于采用柔性背板材料的层压样，按5.5.5的试验方法测量试验前后层压件中胶膜与玻璃之间的剥离强度。</w:t>
      </w:r>
    </w:p>
    <w:p>
      <w:pPr>
        <w:pStyle w:val="67"/>
        <w:spacing w:before="120" w:after="120"/>
      </w:pPr>
      <w:r>
        <w:rPr>
          <w:rFonts w:hint="eastAsia"/>
        </w:rPr>
        <w:t>紫外高温高湿老化性能（可选项目）</w:t>
      </w:r>
    </w:p>
    <w:p>
      <w:pPr>
        <w:pStyle w:val="96"/>
        <w:spacing w:before="120" w:after="120"/>
      </w:pPr>
      <w:r>
        <w:rPr>
          <w:rFonts w:hint="eastAsia"/>
        </w:rPr>
        <w:t>目的</w:t>
      </w:r>
    </w:p>
    <w:p>
      <w:pPr>
        <w:pStyle w:val="58"/>
        <w:ind w:firstLine="420"/>
      </w:pPr>
      <w:r>
        <w:rPr>
          <w:rFonts w:hint="eastAsia"/>
        </w:rPr>
        <w:t>测定固化后的共挤胶膜层压件在紫外高温高湿综合老化条件下的耐老化性能。</w:t>
      </w:r>
    </w:p>
    <w:p>
      <w:pPr>
        <w:pStyle w:val="96"/>
        <w:spacing w:before="120" w:after="120"/>
      </w:pPr>
      <w:r>
        <w:rPr>
          <w:rFonts w:hint="eastAsia"/>
        </w:rPr>
        <w:t>仪器设备及辅材</w:t>
      </w:r>
    </w:p>
    <w:p>
      <w:pPr>
        <w:pStyle w:val="58"/>
        <w:ind w:firstLine="420"/>
      </w:pPr>
      <w:r>
        <w:rPr>
          <w:rFonts w:hint="eastAsia"/>
        </w:rPr>
        <w:t>仪器设备及辅材如下：</w:t>
      </w:r>
    </w:p>
    <w:p>
      <w:pPr>
        <w:numPr>
          <w:ilvl w:val="0"/>
          <w:numId w:val="46"/>
        </w:numPr>
        <w:tabs>
          <w:tab w:val="left" w:pos="851"/>
        </w:tabs>
        <w:spacing w:line="240" w:lineRule="auto"/>
        <w:ind w:left="850" w:hanging="425"/>
        <w:rPr>
          <w:rFonts w:ascii="宋体" w:hAnsi="Times New Roman"/>
        </w:rPr>
      </w:pPr>
      <w:r>
        <w:rPr>
          <w:rFonts w:hint="eastAsia" w:ascii="宋体" w:hAnsi="Times New Roman"/>
        </w:rPr>
        <w:t>紫外高温高湿试验箱；</w:t>
      </w:r>
    </w:p>
    <w:p>
      <w:pPr>
        <w:numPr>
          <w:ilvl w:val="0"/>
          <w:numId w:val="46"/>
        </w:numPr>
        <w:tabs>
          <w:tab w:val="left" w:pos="851"/>
        </w:tabs>
        <w:spacing w:line="240" w:lineRule="auto"/>
        <w:ind w:left="850" w:hanging="425"/>
        <w:rPr>
          <w:rFonts w:ascii="宋体" w:hAnsi="Times New Roman"/>
        </w:rPr>
      </w:pPr>
      <w:r>
        <w:rPr>
          <w:rFonts w:hint="eastAsia" w:ascii="宋体" w:hAnsi="Times New Roman"/>
        </w:rPr>
        <w:t>测色仪；</w:t>
      </w:r>
    </w:p>
    <w:p>
      <w:pPr>
        <w:numPr>
          <w:ilvl w:val="0"/>
          <w:numId w:val="46"/>
        </w:numPr>
        <w:tabs>
          <w:tab w:val="left" w:pos="851"/>
        </w:tabs>
        <w:spacing w:line="240" w:lineRule="auto"/>
        <w:ind w:left="850" w:hanging="425"/>
        <w:rPr>
          <w:rFonts w:ascii="宋体" w:hAnsi="Times New Roman"/>
        </w:rPr>
      </w:pPr>
      <w:r>
        <w:rPr>
          <w:rFonts w:hint="eastAsia" w:ascii="宋体" w:hAnsi="Times New Roman"/>
        </w:rPr>
        <w:t>拉力机；</w:t>
      </w:r>
    </w:p>
    <w:p>
      <w:pPr>
        <w:numPr>
          <w:ilvl w:val="0"/>
          <w:numId w:val="46"/>
        </w:numPr>
        <w:tabs>
          <w:tab w:val="left" w:pos="851"/>
        </w:tabs>
        <w:spacing w:line="240" w:lineRule="auto"/>
        <w:ind w:left="850" w:hanging="425"/>
        <w:rPr>
          <w:rFonts w:ascii="宋体" w:hAnsi="Times New Roman"/>
        </w:rPr>
      </w:pPr>
      <w:r>
        <w:rPr>
          <w:rFonts w:hint="eastAsia" w:ascii="宋体" w:hAnsi="Times New Roman"/>
        </w:rPr>
        <w:t>辅材：包括5.5.9.3中的辅材和5.5.1.2注2中的不粘膜。</w:t>
      </w:r>
    </w:p>
    <w:p>
      <w:pPr>
        <w:pStyle w:val="96"/>
        <w:spacing w:before="120" w:after="120"/>
      </w:pPr>
      <w:r>
        <w:rPr>
          <w:rFonts w:hint="eastAsia"/>
        </w:rPr>
        <w:t>试样制备</w:t>
      </w:r>
    </w:p>
    <w:p>
      <w:pPr>
        <w:pStyle w:val="58"/>
        <w:ind w:firstLine="420"/>
      </w:pPr>
      <w:r>
        <w:rPr>
          <w:rFonts w:hint="eastAsia"/>
        </w:rPr>
        <w:t>取尺寸为300</w:t>
      </w:r>
      <w:r>
        <w:t xml:space="preserve"> </w:t>
      </w:r>
      <w:r>
        <w:rPr>
          <w:rFonts w:hint="eastAsia"/>
        </w:rPr>
        <w:t>mm×300</w:t>
      </w:r>
      <w:r>
        <w:t xml:space="preserve"> </w:t>
      </w:r>
      <w:r>
        <w:rPr>
          <w:rFonts w:hint="eastAsia"/>
        </w:rPr>
        <w:t>mm 共挤胶膜两块，按5.5.9.4 要求制备层压件。</w:t>
      </w:r>
    </w:p>
    <w:p>
      <w:pPr>
        <w:pStyle w:val="58"/>
        <w:ind w:firstLine="420"/>
      </w:pPr>
      <w:r>
        <w:rPr>
          <w:rFonts w:hint="eastAsia"/>
        </w:rPr>
        <w:t>其中对于采用柔性背板材料的层压样制备，另外取一块尺寸约为50</w:t>
      </w:r>
      <w:r>
        <w:t xml:space="preserve"> </w:t>
      </w:r>
      <w:r>
        <w:rPr>
          <w:rFonts w:hint="eastAsia"/>
        </w:rPr>
        <w:t>mm×150</w:t>
      </w:r>
      <w:r>
        <w:t xml:space="preserve"> </w:t>
      </w:r>
      <w:r>
        <w:rPr>
          <w:rFonts w:hint="eastAsia"/>
        </w:rPr>
        <w:t>mm 的不粘膜，制样时，将不粘膜放置在共挤胶膜与柔性背板之间，且不粘膜与层压件边缘距离至少50</w:t>
      </w:r>
      <w:r>
        <w:t xml:space="preserve"> </w:t>
      </w:r>
      <w:r>
        <w:rPr>
          <w:rFonts w:hint="eastAsia"/>
        </w:rPr>
        <w:t>mm。</w:t>
      </w:r>
    </w:p>
    <w:p>
      <w:pPr>
        <w:pStyle w:val="96"/>
        <w:spacing w:before="120" w:after="120"/>
      </w:pPr>
      <w:r>
        <w:rPr>
          <w:rFonts w:hint="eastAsia"/>
        </w:rPr>
        <w:t>试验方法</w:t>
      </w:r>
    </w:p>
    <w:p>
      <w:pPr>
        <w:pStyle w:val="58"/>
        <w:ind w:firstLine="420"/>
      </w:pPr>
      <w:r>
        <w:rPr>
          <w:rFonts w:hint="eastAsia"/>
        </w:rPr>
        <w:t>试验方法如下：</w:t>
      </w:r>
    </w:p>
    <w:p>
      <w:pPr>
        <w:numPr>
          <w:ilvl w:val="0"/>
          <w:numId w:val="47"/>
        </w:numPr>
        <w:tabs>
          <w:tab w:val="left" w:pos="851"/>
        </w:tabs>
        <w:spacing w:line="240" w:lineRule="auto"/>
        <w:ind w:left="851" w:hanging="426"/>
        <w:rPr>
          <w:rFonts w:ascii="宋体" w:hAnsi="Times New Roman"/>
        </w:rPr>
      </w:pPr>
      <w:r>
        <w:rPr>
          <w:rFonts w:hint="eastAsia" w:ascii="宋体" w:hAnsi="Times New Roman"/>
        </w:rPr>
        <w:t>将试样玻璃面朝向光源，放入紫外高温高湿老化试验箱有效辐照区域内，试验条件：</w:t>
      </w:r>
    </w:p>
    <w:p>
      <w:pPr>
        <w:numPr>
          <w:ilvl w:val="1"/>
          <w:numId w:val="47"/>
        </w:numPr>
        <w:tabs>
          <w:tab w:val="left" w:pos="1276"/>
        </w:tabs>
        <w:spacing w:line="240" w:lineRule="auto"/>
        <w:ind w:left="1276" w:hanging="425"/>
        <w:rPr>
          <w:rFonts w:ascii="宋体" w:hAnsi="Times New Roman"/>
        </w:rPr>
      </w:pPr>
      <w:r>
        <w:rPr>
          <w:rFonts w:hint="eastAsia" w:ascii="宋体" w:hAnsi="Times New Roman"/>
        </w:rPr>
        <w:t>紫外光谱分布：280nm～400nm（UVB 280nm～320nm，UVA 320nm～400nm），有效辐照区域内的光照均匀性在15%以内；辐射强度：120</w:t>
      </w:r>
      <w:r>
        <w:rPr>
          <w:rFonts w:ascii="宋体" w:hAnsi="Times New Roman"/>
        </w:rPr>
        <w:t xml:space="preserve"> </w:t>
      </w:r>
      <w:r>
        <w:rPr>
          <w:rFonts w:hint="eastAsia" w:ascii="宋体" w:hAnsi="Times New Roman"/>
        </w:rPr>
        <w:t>W/m</w:t>
      </w:r>
      <w:r>
        <w:rPr>
          <w:rFonts w:hint="eastAsia" w:ascii="宋体" w:hAnsi="Times New Roman"/>
          <w:vertAlign w:val="superscript"/>
        </w:rPr>
        <w:t>2</w:t>
      </w:r>
      <w:r>
        <w:rPr>
          <w:rFonts w:hint="eastAsia" w:ascii="宋体" w:hAnsi="Times New Roman"/>
        </w:rPr>
        <w:t>～200</w:t>
      </w:r>
      <w:r>
        <w:rPr>
          <w:rFonts w:ascii="宋体" w:hAnsi="Times New Roman"/>
        </w:rPr>
        <w:t xml:space="preserve"> </w:t>
      </w:r>
      <w:r>
        <w:rPr>
          <w:rFonts w:hint="eastAsia" w:ascii="宋体" w:hAnsi="Times New Roman"/>
        </w:rPr>
        <w:t>W/m</w:t>
      </w:r>
      <w:r>
        <w:rPr>
          <w:rFonts w:hint="eastAsia" w:ascii="宋体" w:hAnsi="Times New Roman"/>
          <w:vertAlign w:val="superscript"/>
        </w:rPr>
        <w:t>2</w:t>
      </w:r>
      <w:r>
        <w:rPr>
          <w:rFonts w:hint="eastAsia" w:ascii="宋体" w:hAnsi="Times New Roman"/>
        </w:rPr>
        <w:t>，UVB占UV（A+B）能量的3%～10%；</w:t>
      </w:r>
    </w:p>
    <w:p>
      <w:pPr>
        <w:numPr>
          <w:ilvl w:val="1"/>
          <w:numId w:val="47"/>
        </w:numPr>
        <w:tabs>
          <w:tab w:val="left" w:pos="1276"/>
        </w:tabs>
        <w:spacing w:line="240" w:lineRule="auto"/>
        <w:ind w:left="1276" w:hanging="425"/>
        <w:rPr>
          <w:rFonts w:ascii="宋体" w:hAnsi="Times New Roman"/>
        </w:rPr>
      </w:pPr>
      <w:r>
        <w:rPr>
          <w:rFonts w:hint="eastAsia" w:ascii="宋体" w:hAnsi="Times New Roman"/>
        </w:rPr>
        <w:t>在紫外辐照的同时，试验箱内试样表面温度保持在85℃±2℃，相对湿度维持在85%±5%；</w:t>
      </w:r>
    </w:p>
    <w:p>
      <w:pPr>
        <w:numPr>
          <w:ilvl w:val="1"/>
          <w:numId w:val="47"/>
        </w:numPr>
        <w:tabs>
          <w:tab w:val="left" w:pos="1276"/>
        </w:tabs>
        <w:spacing w:line="240" w:lineRule="auto"/>
        <w:ind w:left="1276" w:hanging="425"/>
        <w:rPr>
          <w:rFonts w:ascii="宋体" w:hAnsi="Times New Roman"/>
        </w:rPr>
      </w:pPr>
      <w:r>
        <w:rPr>
          <w:rFonts w:hint="eastAsia" w:ascii="宋体" w:hAnsi="Times New Roman"/>
        </w:rPr>
        <w:t>辐照功率累积：按试样表面实际所受的辐照量进行累积。</w:t>
      </w:r>
    </w:p>
    <w:p>
      <w:pPr>
        <w:numPr>
          <w:ilvl w:val="0"/>
          <w:numId w:val="47"/>
        </w:numPr>
        <w:tabs>
          <w:tab w:val="left" w:pos="851"/>
        </w:tabs>
        <w:spacing w:line="240" w:lineRule="auto"/>
        <w:ind w:left="851" w:hanging="426"/>
        <w:rPr>
          <w:rFonts w:ascii="宋体" w:hAnsi="Times New Roman"/>
        </w:rPr>
      </w:pPr>
      <w:r>
        <w:rPr>
          <w:rFonts w:hint="eastAsia" w:ascii="宋体" w:hAnsi="Times New Roman"/>
        </w:rPr>
        <w:t>试验时间：以高温高湿运行时间计，300h；</w:t>
      </w:r>
    </w:p>
    <w:p>
      <w:pPr>
        <w:numPr>
          <w:ilvl w:val="0"/>
          <w:numId w:val="47"/>
        </w:numPr>
        <w:tabs>
          <w:tab w:val="left" w:pos="851"/>
        </w:tabs>
        <w:spacing w:line="240" w:lineRule="auto"/>
        <w:ind w:left="851" w:hanging="426"/>
        <w:rPr>
          <w:rFonts w:ascii="宋体" w:hAnsi="Times New Roman"/>
        </w:rPr>
      </w:pPr>
      <w:r>
        <w:rPr>
          <w:rFonts w:hint="eastAsia" w:ascii="宋体" w:hAnsi="Times New Roman"/>
        </w:rPr>
        <w:t>试验结束后将试样取出，在23℃±5℃，相对湿度小于75%的敞开环境下恢复2h～4h后，进行外观检查，要求没有外观缺陷；</w:t>
      </w:r>
    </w:p>
    <w:p>
      <w:pPr>
        <w:numPr>
          <w:ilvl w:val="0"/>
          <w:numId w:val="47"/>
        </w:numPr>
        <w:tabs>
          <w:tab w:val="left" w:pos="851"/>
        </w:tabs>
        <w:spacing w:line="240" w:lineRule="auto"/>
        <w:ind w:left="851" w:hanging="426"/>
        <w:rPr>
          <w:rFonts w:ascii="宋体" w:hAnsi="Times New Roman"/>
        </w:rPr>
      </w:pPr>
      <w:r>
        <w:rPr>
          <w:rFonts w:hint="eastAsia" w:ascii="宋体" w:hAnsi="Times New Roman"/>
        </w:rPr>
        <w:t>分别对试验前后层压件试样按ASTM E313-2010进行黄度指数YI测量，每块试样测不少于3个点，试样黄度指数YI取所测点的平均值，记录老化后黄度指数YI与老化前黄度指数YI的差值，即黄变指数△YI。其中柔性背板层压件测试黄度指数前，须先去除背板和不粘膜，剩下玻璃和共挤胶膜再测试，以排除背板黄变的影响。</w:t>
      </w:r>
    </w:p>
    <w:p>
      <w:pPr>
        <w:numPr>
          <w:ilvl w:val="0"/>
          <w:numId w:val="47"/>
        </w:numPr>
        <w:tabs>
          <w:tab w:val="left" w:pos="851"/>
        </w:tabs>
        <w:spacing w:line="240" w:lineRule="auto"/>
        <w:ind w:left="851" w:hanging="426"/>
        <w:rPr>
          <w:rFonts w:ascii="宋体" w:hAnsi="Times New Roman"/>
        </w:rPr>
      </w:pPr>
      <w:r>
        <w:rPr>
          <w:rFonts w:hint="eastAsia" w:ascii="宋体" w:hAnsi="Times New Roman"/>
        </w:rPr>
        <w:t>对于采用柔性背板材料的层压样，按5.5.3的试验方法测试试验前后层压件中胶膜与玻璃之间的剥离强度。</w:t>
      </w:r>
    </w:p>
    <w:p>
      <w:pPr>
        <w:pStyle w:val="106"/>
        <w:spacing w:before="240" w:after="240"/>
      </w:pPr>
      <w:bookmarkStart w:id="74" w:name="_Toc144800298"/>
      <w:bookmarkStart w:id="75" w:name="_Toc27293"/>
      <w:r>
        <w:rPr>
          <w:rFonts w:hint="eastAsia"/>
        </w:rPr>
        <w:t>检验规则</w:t>
      </w:r>
      <w:bookmarkEnd w:id="74"/>
      <w:bookmarkEnd w:id="75"/>
    </w:p>
    <w:p>
      <w:pPr>
        <w:pStyle w:val="107"/>
        <w:spacing w:before="120" w:after="120"/>
      </w:pPr>
      <w:bookmarkStart w:id="76" w:name="_Toc2624"/>
      <w:bookmarkStart w:id="77" w:name="_Toc144800299"/>
      <w:r>
        <w:rPr>
          <w:rFonts w:hint="eastAsia"/>
        </w:rPr>
        <w:t>出厂检验</w:t>
      </w:r>
      <w:bookmarkEnd w:id="76"/>
      <w:bookmarkEnd w:id="77"/>
    </w:p>
    <w:p>
      <w:pPr>
        <w:pStyle w:val="67"/>
        <w:spacing w:before="120" w:after="120"/>
      </w:pPr>
      <w:r>
        <w:rPr>
          <w:rFonts w:hint="eastAsia"/>
        </w:rPr>
        <w:t>通则</w:t>
      </w:r>
    </w:p>
    <w:p>
      <w:pPr>
        <w:pStyle w:val="58"/>
        <w:ind w:firstLine="420"/>
      </w:pPr>
      <w:r>
        <w:rPr>
          <w:rFonts w:hint="eastAsia"/>
        </w:rPr>
        <w:t>产品出厂必须经生产厂质检部门按本文件规定检验合格后，并附上产品质量合格证，方能出厂。</w:t>
      </w:r>
    </w:p>
    <w:p>
      <w:pPr>
        <w:pStyle w:val="67"/>
        <w:spacing w:before="120" w:after="120"/>
      </w:pPr>
      <w:r>
        <w:rPr>
          <w:rFonts w:hint="eastAsia"/>
        </w:rPr>
        <w:t>出厂检验项目</w:t>
      </w:r>
    </w:p>
    <w:p>
      <w:pPr>
        <w:pStyle w:val="58"/>
        <w:ind w:firstLine="420"/>
      </w:pPr>
      <w:r>
        <w:rPr>
          <w:rFonts w:hint="eastAsia"/>
        </w:rPr>
        <w:t>外观、规格及偏差、交联度和收缩率。</w:t>
      </w:r>
    </w:p>
    <w:p>
      <w:pPr>
        <w:pStyle w:val="67"/>
        <w:spacing w:before="120" w:after="120"/>
      </w:pPr>
      <w:r>
        <w:rPr>
          <w:rFonts w:hint="eastAsia"/>
        </w:rPr>
        <w:t>出厂检验组批</w:t>
      </w:r>
    </w:p>
    <w:p>
      <w:pPr>
        <w:pStyle w:val="58"/>
        <w:ind w:firstLine="420"/>
      </w:pPr>
      <w:r>
        <w:rPr>
          <w:rFonts w:hint="eastAsia"/>
        </w:rPr>
        <w:t>使用同批原料，同一配方，在相同工艺条件下生产的同一规格的共挤胶膜为一个检查批，以胶膜面积为单位。</w:t>
      </w:r>
    </w:p>
    <w:p>
      <w:pPr>
        <w:pStyle w:val="67"/>
        <w:spacing w:before="120" w:after="120"/>
      </w:pPr>
      <w:r>
        <w:rPr>
          <w:rFonts w:hint="eastAsia"/>
        </w:rPr>
        <w:t>出厂检验抽样</w:t>
      </w:r>
    </w:p>
    <w:p>
      <w:pPr>
        <w:pStyle w:val="58"/>
        <w:ind w:firstLine="420"/>
      </w:pPr>
      <w:r>
        <w:rPr>
          <w:rFonts w:hint="eastAsia"/>
        </w:rPr>
        <w:t>出厂检验按GB/T 2828.1—2012的规定进行，采用特殊检验水平S-3，正常检验一次抽样方案，合格质量水平（AQL）6.5。</w:t>
      </w:r>
    </w:p>
    <w:p>
      <w:pPr>
        <w:pStyle w:val="107"/>
        <w:spacing w:before="120" w:after="120"/>
      </w:pPr>
      <w:bookmarkStart w:id="78" w:name="_Toc144800300"/>
      <w:bookmarkStart w:id="79" w:name="_Toc23797"/>
      <w:r>
        <w:rPr>
          <w:rFonts w:hint="eastAsia"/>
        </w:rPr>
        <w:t>型式试验</w:t>
      </w:r>
      <w:bookmarkEnd w:id="78"/>
      <w:bookmarkEnd w:id="79"/>
    </w:p>
    <w:p>
      <w:pPr>
        <w:pStyle w:val="58"/>
        <w:ind w:firstLine="420"/>
      </w:pPr>
      <w:r>
        <w:rPr>
          <w:rFonts w:hint="eastAsia"/>
        </w:rPr>
        <w:t>当有下列情况之一时，应进行型式检验，型式检验包括本文件中要求中的全部项目，表2中项目11 PCT老化性能和项目12紫外高温高湿老化性能为可选项目。</w:t>
      </w:r>
    </w:p>
    <w:p>
      <w:pPr>
        <w:numPr>
          <w:ilvl w:val="0"/>
          <w:numId w:val="48"/>
        </w:numPr>
        <w:tabs>
          <w:tab w:val="left" w:pos="851"/>
        </w:tabs>
        <w:spacing w:line="240" w:lineRule="auto"/>
        <w:ind w:left="850" w:hanging="425"/>
        <w:rPr>
          <w:rFonts w:ascii="宋体" w:hAnsi="Times New Roman"/>
        </w:rPr>
      </w:pPr>
      <w:r>
        <w:rPr>
          <w:rFonts w:hint="eastAsia" w:ascii="宋体" w:hAnsi="Times New Roman"/>
        </w:rPr>
        <w:t>新产品定型鉴定时；</w:t>
      </w:r>
    </w:p>
    <w:p>
      <w:pPr>
        <w:numPr>
          <w:ilvl w:val="0"/>
          <w:numId w:val="48"/>
        </w:numPr>
        <w:tabs>
          <w:tab w:val="left" w:pos="851"/>
        </w:tabs>
        <w:spacing w:line="240" w:lineRule="auto"/>
        <w:ind w:left="850" w:hanging="425"/>
        <w:rPr>
          <w:rFonts w:ascii="宋体" w:hAnsi="Times New Roman"/>
        </w:rPr>
      </w:pPr>
      <w:r>
        <w:rPr>
          <w:rFonts w:hint="eastAsia" w:ascii="宋体" w:hAnsi="Times New Roman"/>
        </w:rPr>
        <w:t>产品的原材料、工艺配方等有较大改变，可能影响产品性能时；</w:t>
      </w:r>
    </w:p>
    <w:p>
      <w:pPr>
        <w:numPr>
          <w:ilvl w:val="0"/>
          <w:numId w:val="48"/>
        </w:numPr>
        <w:tabs>
          <w:tab w:val="left" w:pos="851"/>
        </w:tabs>
        <w:spacing w:line="240" w:lineRule="auto"/>
        <w:ind w:left="850" w:hanging="425"/>
        <w:rPr>
          <w:rFonts w:ascii="宋体" w:hAnsi="Times New Roman"/>
        </w:rPr>
      </w:pPr>
      <w:r>
        <w:rPr>
          <w:rFonts w:hint="eastAsia" w:ascii="宋体" w:hAnsi="Times New Roman"/>
        </w:rPr>
        <w:t>产品停产1年以上重新生产或新机器生产时；</w:t>
      </w:r>
    </w:p>
    <w:p>
      <w:pPr>
        <w:numPr>
          <w:ilvl w:val="0"/>
          <w:numId w:val="48"/>
        </w:numPr>
        <w:tabs>
          <w:tab w:val="left" w:pos="851"/>
        </w:tabs>
        <w:spacing w:line="240" w:lineRule="auto"/>
        <w:ind w:left="850" w:hanging="425"/>
        <w:rPr>
          <w:rFonts w:ascii="宋体" w:hAnsi="Times New Roman"/>
        </w:rPr>
      </w:pPr>
      <w:r>
        <w:rPr>
          <w:rFonts w:hint="eastAsia" w:ascii="宋体" w:hAnsi="Times New Roman"/>
        </w:rPr>
        <w:t>国家质量监督检验机构提出型式检验的要求时；</w:t>
      </w:r>
    </w:p>
    <w:p>
      <w:pPr>
        <w:numPr>
          <w:ilvl w:val="0"/>
          <w:numId w:val="48"/>
        </w:numPr>
        <w:tabs>
          <w:tab w:val="left" w:pos="851"/>
        </w:tabs>
        <w:spacing w:line="240" w:lineRule="auto"/>
        <w:ind w:left="850" w:hanging="425"/>
        <w:rPr>
          <w:rFonts w:ascii="宋体" w:hAnsi="Times New Roman"/>
        </w:rPr>
      </w:pPr>
      <w:r>
        <w:rPr>
          <w:rFonts w:hint="eastAsia" w:ascii="宋体" w:hAnsi="Times New Roman"/>
        </w:rPr>
        <w:t>出厂检验结果与上次型式检验结果有较大差异时。</w:t>
      </w:r>
    </w:p>
    <w:p>
      <w:pPr>
        <w:pStyle w:val="106"/>
        <w:spacing w:before="240" w:after="240"/>
      </w:pPr>
      <w:bookmarkStart w:id="80" w:name="_Toc144800301"/>
      <w:bookmarkStart w:id="81" w:name="_Toc3695"/>
      <w:r>
        <w:rPr>
          <w:rFonts w:hint="eastAsia"/>
        </w:rPr>
        <w:t>包装、标志、运输和贮存</w:t>
      </w:r>
      <w:bookmarkEnd w:id="80"/>
      <w:bookmarkEnd w:id="81"/>
    </w:p>
    <w:p>
      <w:pPr>
        <w:pStyle w:val="107"/>
        <w:spacing w:before="120" w:after="120"/>
      </w:pPr>
      <w:bookmarkStart w:id="82" w:name="_Toc483"/>
      <w:bookmarkStart w:id="83" w:name="_Toc144800302"/>
      <w:r>
        <w:rPr>
          <w:rFonts w:hint="eastAsia"/>
        </w:rPr>
        <w:t>包装</w:t>
      </w:r>
      <w:bookmarkEnd w:id="82"/>
      <w:bookmarkEnd w:id="83"/>
    </w:p>
    <w:p>
      <w:pPr>
        <w:pStyle w:val="167"/>
        <w:rPr>
          <w:rFonts w:ascii="黑体" w:eastAsia="黑体"/>
        </w:rPr>
      </w:pPr>
      <w:r>
        <w:rPr>
          <w:rFonts w:hint="eastAsia"/>
        </w:rPr>
        <w:t>产品以卷为单位，每卷产品做防潮防尘包装</w:t>
      </w:r>
      <w:r>
        <w:rPr>
          <w:rFonts w:hint="eastAsia" w:ascii="黑体" w:eastAsia="黑体"/>
        </w:rPr>
        <w:t>。</w:t>
      </w:r>
    </w:p>
    <w:p>
      <w:pPr>
        <w:pStyle w:val="167"/>
        <w:rPr>
          <w:rFonts w:ascii="黑体" w:eastAsia="黑体"/>
        </w:rPr>
      </w:pPr>
      <w:r>
        <w:rPr>
          <w:rFonts w:hint="eastAsia"/>
        </w:rPr>
        <w:t>每卷产品附有合格证，项目为：产品型号、规格、批号、生产日期</w:t>
      </w:r>
      <w:r>
        <w:rPr>
          <w:rFonts w:hint="eastAsia" w:ascii="黑体" w:eastAsia="黑体"/>
        </w:rPr>
        <w:t>。</w:t>
      </w:r>
    </w:p>
    <w:p>
      <w:pPr>
        <w:pStyle w:val="107"/>
        <w:spacing w:before="120" w:after="120"/>
      </w:pPr>
      <w:bookmarkStart w:id="84" w:name="_Toc16845"/>
      <w:bookmarkStart w:id="85" w:name="_Toc144800303"/>
      <w:r>
        <w:rPr>
          <w:rFonts w:hint="eastAsia"/>
        </w:rPr>
        <w:t>标志</w:t>
      </w:r>
      <w:bookmarkEnd w:id="84"/>
      <w:bookmarkEnd w:id="85"/>
    </w:p>
    <w:p>
      <w:pPr>
        <w:pStyle w:val="58"/>
        <w:ind w:firstLine="420"/>
      </w:pPr>
      <w:r>
        <w:rPr>
          <w:rFonts w:hint="eastAsia"/>
        </w:rPr>
        <w:t>每箱产品出厂时应标明：生产厂名、产品名称、型号、规格、数量、生产日期、执行标准。</w:t>
      </w:r>
    </w:p>
    <w:p>
      <w:pPr>
        <w:pStyle w:val="107"/>
        <w:spacing w:before="120" w:after="120"/>
      </w:pPr>
      <w:bookmarkStart w:id="86" w:name="_Toc144800304"/>
      <w:bookmarkStart w:id="87" w:name="_Toc23919"/>
      <w:r>
        <w:rPr>
          <w:rFonts w:hint="eastAsia"/>
        </w:rPr>
        <w:t>运输</w:t>
      </w:r>
      <w:bookmarkEnd w:id="86"/>
      <w:bookmarkEnd w:id="87"/>
    </w:p>
    <w:p>
      <w:pPr>
        <w:pStyle w:val="58"/>
        <w:ind w:firstLine="420"/>
      </w:pPr>
      <w:r>
        <w:rPr>
          <w:rFonts w:hint="eastAsia"/>
        </w:rPr>
        <w:t>产品应避光、避热、避潮运输，避免摔打和露天堆放，不得使产品弯曲和包装破损。</w:t>
      </w:r>
    </w:p>
    <w:p>
      <w:pPr>
        <w:pStyle w:val="107"/>
        <w:spacing w:before="120" w:after="120"/>
      </w:pPr>
      <w:bookmarkStart w:id="88" w:name="_Toc14806"/>
      <w:bookmarkStart w:id="89" w:name="_Toc144800305"/>
      <w:r>
        <w:rPr>
          <w:rFonts w:hint="eastAsia"/>
        </w:rPr>
        <w:t>贮存</w:t>
      </w:r>
      <w:bookmarkEnd w:id="88"/>
      <w:bookmarkEnd w:id="89"/>
    </w:p>
    <w:p>
      <w:pPr>
        <w:pStyle w:val="67"/>
        <w:spacing w:before="120" w:after="120"/>
      </w:pPr>
      <w:r>
        <w:rPr>
          <w:rFonts w:hint="eastAsia"/>
        </w:rPr>
        <w:t>贮存地点</w:t>
      </w:r>
    </w:p>
    <w:p>
      <w:pPr>
        <w:pStyle w:val="58"/>
        <w:ind w:firstLine="420"/>
      </w:pPr>
      <w:r>
        <w:rPr>
          <w:rFonts w:hint="eastAsia"/>
        </w:rPr>
        <w:t>产品应当贮存在室内，温度控制在0℃～30℃范围内，相对湿度低于60%，避免直接光照。不要靠近加热设备和暴露在有灰尘的地方。</w:t>
      </w:r>
    </w:p>
    <w:p>
      <w:pPr>
        <w:pStyle w:val="67"/>
        <w:spacing w:before="120" w:after="120"/>
      </w:pPr>
      <w:r>
        <w:rPr>
          <w:rFonts w:hint="eastAsia"/>
        </w:rPr>
        <w:t>贮存方法</w:t>
      </w:r>
    </w:p>
    <w:p>
      <w:pPr>
        <w:pStyle w:val="58"/>
        <w:ind w:firstLine="420"/>
      </w:pPr>
      <w:r>
        <w:rPr>
          <w:rFonts w:hint="eastAsia"/>
        </w:rPr>
        <w:t>贮存方法如下：</w:t>
      </w:r>
    </w:p>
    <w:p>
      <w:pPr>
        <w:numPr>
          <w:ilvl w:val="0"/>
          <w:numId w:val="49"/>
        </w:numPr>
        <w:tabs>
          <w:tab w:val="left" w:pos="851"/>
        </w:tabs>
        <w:spacing w:line="240" w:lineRule="auto"/>
        <w:ind w:left="850" w:hanging="425"/>
        <w:rPr>
          <w:rFonts w:ascii="宋体" w:hAnsi="Times New Roman"/>
        </w:rPr>
      </w:pPr>
      <w:r>
        <w:rPr>
          <w:rFonts w:hint="eastAsia" w:ascii="宋体" w:hAnsi="Times New Roman"/>
        </w:rPr>
        <w:t>在开箱之前，检查贮存产品的包装箱应原封不动；</w:t>
      </w:r>
    </w:p>
    <w:p>
      <w:pPr>
        <w:numPr>
          <w:ilvl w:val="0"/>
          <w:numId w:val="49"/>
        </w:numPr>
        <w:tabs>
          <w:tab w:val="left" w:pos="851"/>
        </w:tabs>
        <w:spacing w:line="240" w:lineRule="auto"/>
        <w:ind w:left="850" w:hanging="425"/>
        <w:rPr>
          <w:rFonts w:ascii="宋体" w:hAnsi="Times New Roman"/>
        </w:rPr>
      </w:pPr>
      <w:r>
        <w:rPr>
          <w:rFonts w:hint="eastAsia" w:ascii="宋体" w:hAnsi="Times New Roman"/>
        </w:rPr>
        <w:t>一旦原包装箱被打开，建议产品在8h内使用完，未用部分用原包装或相似包装重新封好。</w:t>
      </w:r>
    </w:p>
    <w:p>
      <w:pPr>
        <w:pStyle w:val="67"/>
        <w:spacing w:before="120" w:after="120"/>
      </w:pPr>
      <w:r>
        <w:rPr>
          <w:rFonts w:hint="eastAsia"/>
        </w:rPr>
        <w:t>贮存时间</w:t>
      </w:r>
    </w:p>
    <w:p>
      <w:pPr>
        <w:pStyle w:val="58"/>
        <w:ind w:firstLine="420"/>
      </w:pPr>
      <w:r>
        <w:rPr>
          <w:rFonts w:hint="eastAsia"/>
        </w:rPr>
        <w:t>产品自生产之日起，贮存期为至少120天。</w:t>
      </w: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bookmarkEnd w:id="23"/>
    <w:p>
      <w:pPr>
        <w:pStyle w:val="58"/>
        <w:ind w:firstLine="0" w:firstLineChars="0"/>
        <w:jc w:val="center"/>
      </w:pPr>
      <w:bookmarkStart w:id="90"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0"/>
    </w:p>
    <w:sectPr>
      <w:headerReference r:id="rId17" w:type="default"/>
      <w:footerReference r:id="rId19" w:type="default"/>
      <w:headerReference r:id="rId18" w:type="even"/>
      <w:footerReference r:id="rId20" w:type="even"/>
      <w:pgSz w:w="11906" w:h="16838"/>
      <w:pgMar w:top="567" w:right="1134" w:bottom="1134" w:left="1134" w:header="1418" w:footer="1134" w:gutter="284"/>
      <w:pgBorders>
        <w:top w:val="none" w:sz="0" w:space="0"/>
        <w:left w:val="none" w:sz="0" w:space="0"/>
        <w:bottom w:val="none" w:sz="0" w:space="0"/>
        <w:right w:val="none" w:sz="0" w:space="0"/>
      </w:pgBorders>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spacing w:after="283"/>
    </w:pPr>
    <w:r>
      <w:fldChar w:fldCharType="begin"/>
    </w:r>
    <w:r>
      <w:instrText xml:space="preserve"> STYLEREF  标准文件_文件编号  \* MERGEFORMAT </w:instrText>
    </w:r>
    <w:r>
      <w:fldChar w:fldCharType="separate"/>
    </w:r>
    <w:r>
      <w:t>T/CPIA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T/CPIA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spacing w:after="283"/>
    </w:pPr>
    <w:r>
      <w:fldChar w:fldCharType="begin"/>
    </w:r>
    <w:r>
      <w:instrText xml:space="preserve"> STYLEREF  标准文件_文件编号  \* MERGEFORMAT </w:instrText>
    </w:r>
    <w:r>
      <w:fldChar w:fldCharType="separate"/>
    </w:r>
    <w:r>
      <w:t>T/CPIA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spacing w:after="283"/>
    </w:pPr>
    <w:r>
      <w:fldChar w:fldCharType="begin"/>
    </w:r>
    <w:r>
      <w:instrText xml:space="preserve"> STYLEREF  标准文件_文件编号 \* MERGEFORMAT </w:instrText>
    </w:r>
    <w:r>
      <w:fldChar w:fldCharType="separate"/>
    </w:r>
    <w:r>
      <w:t>T/CPIA 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spacing w:after="283"/>
    </w:pPr>
    <w:r>
      <w:fldChar w:fldCharType="begin"/>
    </w:r>
    <w:r>
      <w:instrText xml:space="preserve"> STYLEREF  标准文件_文件编号  \* MERGEFORMAT </w:instrText>
    </w:r>
    <w:r>
      <w:fldChar w:fldCharType="separate"/>
    </w:r>
    <w:r>
      <w:t>T/CPIA XXXX—202X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spacing w:after="283"/>
    </w:pPr>
    <w:r>
      <w:fldChar w:fldCharType="begin"/>
    </w:r>
    <w:r>
      <w:instrText xml:space="preserve"> STYLEREF  标准文件_文件编号 \* MERGEFORMAT </w:instrText>
    </w:r>
    <w:r>
      <w:fldChar w:fldCharType="separate"/>
    </w:r>
    <w:r>
      <w:t>T/CPIA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05DC48"/>
    <w:multiLevelType w:val="multilevel"/>
    <w:tmpl w:val="CE05DC48"/>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842"/>
        </w:tabs>
        <w:ind w:left="1842"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68"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2C88B4C4"/>
    <w:multiLevelType w:val="multilevel"/>
    <w:tmpl w:val="2C88B4C4"/>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1696"/>
        </w:tabs>
        <w:ind w:left="1695"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1696"/>
        </w:tabs>
        <w:ind w:left="1695"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1"/>
      <w:lvlText w:val="%1——"/>
      <w:lvlJc w:val="left"/>
      <w:pPr>
        <w:tabs>
          <w:tab w:val="left" w:pos="330"/>
        </w:tabs>
        <w:ind w:left="948"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0"/>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1"/>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NotDisplayPageBoundaries w:val="1"/>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2MWIxNWE4YmVlNWZhODcwMTY2NTcxYWJkYTdkOTQifQ=="/>
  </w:docVars>
  <w:rsids>
    <w:rsidRoot w:val="00AE130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A61"/>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5DA5"/>
    <w:rsid w:val="000F67E9"/>
    <w:rsid w:val="00104926"/>
    <w:rsid w:val="0010674F"/>
    <w:rsid w:val="00113B1E"/>
    <w:rsid w:val="0011711C"/>
    <w:rsid w:val="00124E4F"/>
    <w:rsid w:val="001260B7"/>
    <w:rsid w:val="001265CB"/>
    <w:rsid w:val="001321C6"/>
    <w:rsid w:val="001325C4"/>
    <w:rsid w:val="00133010"/>
    <w:rsid w:val="001338EE"/>
    <w:rsid w:val="00133AAE"/>
    <w:rsid w:val="00135323"/>
    <w:rsid w:val="001356C4"/>
    <w:rsid w:val="001363B5"/>
    <w:rsid w:val="00137565"/>
    <w:rsid w:val="00141114"/>
    <w:rsid w:val="00142969"/>
    <w:rsid w:val="001446C2"/>
    <w:rsid w:val="001457E7"/>
    <w:rsid w:val="00145D9D"/>
    <w:rsid w:val="00146388"/>
    <w:rsid w:val="001529E5"/>
    <w:rsid w:val="00152FB3"/>
    <w:rsid w:val="00153C7E"/>
    <w:rsid w:val="00153DB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5E2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1B1"/>
    <w:rsid w:val="0026148A"/>
    <w:rsid w:val="00262696"/>
    <w:rsid w:val="00263D25"/>
    <w:rsid w:val="002643C3"/>
    <w:rsid w:val="00264A0C"/>
    <w:rsid w:val="00266EEB"/>
    <w:rsid w:val="00267EF4"/>
    <w:rsid w:val="00270CB8"/>
    <w:rsid w:val="00272B08"/>
    <w:rsid w:val="002760A0"/>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02A"/>
    <w:rsid w:val="002A1260"/>
    <w:rsid w:val="002A1589"/>
    <w:rsid w:val="002A1608"/>
    <w:rsid w:val="002A25DC"/>
    <w:rsid w:val="002A3AAB"/>
    <w:rsid w:val="002A4CEA"/>
    <w:rsid w:val="002A5977"/>
    <w:rsid w:val="002A5A13"/>
    <w:rsid w:val="002A757F"/>
    <w:rsid w:val="002A7F44"/>
    <w:rsid w:val="002B0C40"/>
    <w:rsid w:val="002B1966"/>
    <w:rsid w:val="002B4508"/>
    <w:rsid w:val="002B53EB"/>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179A5"/>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93B"/>
    <w:rsid w:val="00432DAA"/>
    <w:rsid w:val="00434305"/>
    <w:rsid w:val="00435DF7"/>
    <w:rsid w:val="0044083F"/>
    <w:rsid w:val="00441AE7"/>
    <w:rsid w:val="00445574"/>
    <w:rsid w:val="004467FB"/>
    <w:rsid w:val="00452D6B"/>
    <w:rsid w:val="00454484"/>
    <w:rsid w:val="0045517B"/>
    <w:rsid w:val="00460C2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3A4"/>
    <w:rsid w:val="005220EC"/>
    <w:rsid w:val="00523F95"/>
    <w:rsid w:val="00524D65"/>
    <w:rsid w:val="00525B16"/>
    <w:rsid w:val="00533D04"/>
    <w:rsid w:val="00534804"/>
    <w:rsid w:val="00534BDF"/>
    <w:rsid w:val="005354EA"/>
    <w:rsid w:val="0053585F"/>
    <w:rsid w:val="00535EC4"/>
    <w:rsid w:val="00535ED9"/>
    <w:rsid w:val="0053692B"/>
    <w:rsid w:val="005414C9"/>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0CAD"/>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E5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47B"/>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3211"/>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5F7"/>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3A79"/>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C4C"/>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305"/>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0AC4"/>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808"/>
    <w:rsid w:val="00B62B58"/>
    <w:rsid w:val="00B65149"/>
    <w:rsid w:val="00B66567"/>
    <w:rsid w:val="00B66F52"/>
    <w:rsid w:val="00B66FE5"/>
    <w:rsid w:val="00B67C98"/>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D34"/>
    <w:rsid w:val="00BB5F8F"/>
    <w:rsid w:val="00BB657A"/>
    <w:rsid w:val="00BB7524"/>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616"/>
    <w:rsid w:val="00CB0BA2"/>
    <w:rsid w:val="00CB1A42"/>
    <w:rsid w:val="00CB1B0C"/>
    <w:rsid w:val="00CB2C0B"/>
    <w:rsid w:val="00CB517D"/>
    <w:rsid w:val="00CC038D"/>
    <w:rsid w:val="00CC08DB"/>
    <w:rsid w:val="00CC35A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82E"/>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507"/>
    <w:rsid w:val="00DD57EE"/>
    <w:rsid w:val="00DD6BCC"/>
    <w:rsid w:val="00DE0A4B"/>
    <w:rsid w:val="00DE2410"/>
    <w:rsid w:val="00DE2939"/>
    <w:rsid w:val="00DE6E81"/>
    <w:rsid w:val="00DE703F"/>
    <w:rsid w:val="00DE7595"/>
    <w:rsid w:val="00DF1961"/>
    <w:rsid w:val="00DF44DE"/>
    <w:rsid w:val="00E01138"/>
    <w:rsid w:val="00E01AC2"/>
    <w:rsid w:val="00E02DFB"/>
    <w:rsid w:val="00E030F9"/>
    <w:rsid w:val="00E0311A"/>
    <w:rsid w:val="00E03138"/>
    <w:rsid w:val="00E06404"/>
    <w:rsid w:val="00E11A85"/>
    <w:rsid w:val="00E12495"/>
    <w:rsid w:val="00E15236"/>
    <w:rsid w:val="00E15CCD"/>
    <w:rsid w:val="00E202EF"/>
    <w:rsid w:val="00E210B5"/>
    <w:rsid w:val="00E2552F"/>
    <w:rsid w:val="00E25C52"/>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25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6F34"/>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187"/>
    <w:rsid w:val="00FD7299"/>
    <w:rsid w:val="00FE1FBE"/>
    <w:rsid w:val="00FE3901"/>
    <w:rsid w:val="00FE39D3"/>
    <w:rsid w:val="00FE4BCE"/>
    <w:rsid w:val="00FE54AE"/>
    <w:rsid w:val="00FE576A"/>
    <w:rsid w:val="00FE7E79"/>
    <w:rsid w:val="00FF3E7D"/>
    <w:rsid w:val="00FF5B99"/>
    <w:rsid w:val="00FF730C"/>
    <w:rsid w:val="00FF73F4"/>
    <w:rsid w:val="00FF7CE4"/>
    <w:rsid w:val="00FF7E39"/>
    <w:rsid w:val="013C3987"/>
    <w:rsid w:val="014566D5"/>
    <w:rsid w:val="039270A7"/>
    <w:rsid w:val="05455025"/>
    <w:rsid w:val="07482466"/>
    <w:rsid w:val="0A2B613D"/>
    <w:rsid w:val="0AD61C2B"/>
    <w:rsid w:val="0AF40651"/>
    <w:rsid w:val="0BC9759A"/>
    <w:rsid w:val="0D5631EC"/>
    <w:rsid w:val="11A7084A"/>
    <w:rsid w:val="11E20396"/>
    <w:rsid w:val="16622184"/>
    <w:rsid w:val="169F47C2"/>
    <w:rsid w:val="16D649CD"/>
    <w:rsid w:val="18417321"/>
    <w:rsid w:val="19993C86"/>
    <w:rsid w:val="1E0B4354"/>
    <w:rsid w:val="1F2C4CA9"/>
    <w:rsid w:val="1FA44B19"/>
    <w:rsid w:val="1FD75AF5"/>
    <w:rsid w:val="20506B91"/>
    <w:rsid w:val="209070CD"/>
    <w:rsid w:val="225D32FD"/>
    <w:rsid w:val="24590292"/>
    <w:rsid w:val="24EA2744"/>
    <w:rsid w:val="251D4DD3"/>
    <w:rsid w:val="294A5611"/>
    <w:rsid w:val="2ADA0DA3"/>
    <w:rsid w:val="2E3F5A55"/>
    <w:rsid w:val="2E7524E1"/>
    <w:rsid w:val="2FBE4A30"/>
    <w:rsid w:val="304578AB"/>
    <w:rsid w:val="3097543A"/>
    <w:rsid w:val="313256B9"/>
    <w:rsid w:val="31D547B9"/>
    <w:rsid w:val="326018F8"/>
    <w:rsid w:val="39763398"/>
    <w:rsid w:val="39C813AB"/>
    <w:rsid w:val="3D65074B"/>
    <w:rsid w:val="41116766"/>
    <w:rsid w:val="413C3725"/>
    <w:rsid w:val="45877724"/>
    <w:rsid w:val="490D6025"/>
    <w:rsid w:val="4A7D4E89"/>
    <w:rsid w:val="4BD874E8"/>
    <w:rsid w:val="4C953A4C"/>
    <w:rsid w:val="4E183F18"/>
    <w:rsid w:val="536D2181"/>
    <w:rsid w:val="53770B71"/>
    <w:rsid w:val="569C599D"/>
    <w:rsid w:val="56FE0A59"/>
    <w:rsid w:val="57601EDE"/>
    <w:rsid w:val="57792B50"/>
    <w:rsid w:val="5884337E"/>
    <w:rsid w:val="5FC97768"/>
    <w:rsid w:val="60365E9E"/>
    <w:rsid w:val="638C2104"/>
    <w:rsid w:val="647B4F74"/>
    <w:rsid w:val="653B1E3D"/>
    <w:rsid w:val="68A67238"/>
    <w:rsid w:val="68A76436"/>
    <w:rsid w:val="6C976B3C"/>
    <w:rsid w:val="6D287A99"/>
    <w:rsid w:val="6D420E87"/>
    <w:rsid w:val="6D805604"/>
    <w:rsid w:val="70A54505"/>
    <w:rsid w:val="71650598"/>
    <w:rsid w:val="71BC73A7"/>
    <w:rsid w:val="72D2262A"/>
    <w:rsid w:val="73D81D61"/>
    <w:rsid w:val="748E1DBA"/>
    <w:rsid w:val="74961AFE"/>
    <w:rsid w:val="75D305B4"/>
    <w:rsid w:val="773E0809"/>
    <w:rsid w:val="779A61B1"/>
    <w:rsid w:val="7A2F5BAA"/>
    <w:rsid w:val="7A6A64B6"/>
    <w:rsid w:val="7AD435B1"/>
    <w:rsid w:val="7E7F1366"/>
    <w:rsid w:val="7F6D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link w:val="23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link w:val="239"/>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 w:val="left" w:pos="1276"/>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link w:val="235"/>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wrap="around"/>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link w:val="237"/>
    <w:qFormat/>
    <w:uiPriority w:val="0"/>
    <w:pPr>
      <w:ind w:left="811" w:firstLine="0" w:firstLineChars="0"/>
    </w:pPr>
    <w:rPr>
      <w:sz w:val="18"/>
    </w:rPr>
  </w:style>
  <w:style w:type="paragraph" w:customStyle="1" w:styleId="208">
    <w:name w:val="标准文件_注X后"/>
    <w:basedOn w:val="58"/>
    <w:link w:val="236"/>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段 Char"/>
    <w:link w:val="233"/>
    <w:qFormat/>
    <w:uiPriority w:val="0"/>
    <w:rPr>
      <w:rFonts w:ascii="宋体"/>
      <w:sz w:val="21"/>
    </w:rPr>
  </w:style>
  <w:style w:type="paragraph" w:customStyle="1" w:styleId="233">
    <w:name w:val="段"/>
    <w:link w:val="232"/>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4">
    <w:name w:val="字母编号列项（一级）"/>
    <w:qFormat/>
    <w:uiPriority w:val="0"/>
    <w:pPr>
      <w:tabs>
        <w:tab w:val="left" w:pos="840"/>
        <w:tab w:val="left" w:pos="1646"/>
      </w:tabs>
      <w:ind w:left="1646" w:hanging="648"/>
      <w:jc w:val="both"/>
    </w:pPr>
    <w:rPr>
      <w:rFonts w:ascii="宋体" w:hAnsi="Calibri" w:eastAsia="宋体" w:cs="Times New Roman"/>
      <w:sz w:val="21"/>
      <w:lang w:val="en-US" w:eastAsia="zh-CN" w:bidi="ar-SA"/>
    </w:rPr>
  </w:style>
  <w:style w:type="character" w:customStyle="1" w:styleId="235">
    <w:name w:val="标准文件_注×： Char"/>
    <w:link w:val="182"/>
    <w:qFormat/>
    <w:uiPriority w:val="0"/>
    <w:rPr>
      <w:rFonts w:ascii="宋体" w:hAnsi="Times New Roman" w:eastAsia="宋体" w:cs="Times New Roman"/>
      <w:sz w:val="18"/>
      <w:szCs w:val="18"/>
      <w:lang w:val="en-US" w:eastAsia="zh-CN" w:bidi="ar-SA"/>
    </w:rPr>
  </w:style>
  <w:style w:type="character" w:customStyle="1" w:styleId="236">
    <w:name w:val="标准文件_注X后 Char"/>
    <w:link w:val="208"/>
    <w:qFormat/>
    <w:uiPriority w:val="0"/>
    <w:rPr>
      <w:sz w:val="18"/>
    </w:rPr>
  </w:style>
  <w:style w:type="character" w:customStyle="1" w:styleId="237">
    <w:name w:val="标准文件_注后 Char"/>
    <w:link w:val="207"/>
    <w:qFormat/>
    <w:uiPriority w:val="0"/>
    <w:rPr>
      <w:sz w:val="18"/>
    </w:rPr>
  </w:style>
  <w:style w:type="character" w:customStyle="1" w:styleId="238">
    <w:name w:val="标准文件_标准正文 Char"/>
    <w:link w:val="57"/>
    <w:qFormat/>
    <w:uiPriority w:val="0"/>
    <w:rPr>
      <w:kern w:val="0"/>
    </w:rPr>
  </w:style>
  <w:style w:type="character" w:customStyle="1" w:styleId="239">
    <w:name w:val="标准文件_公式后的破折号 Char"/>
    <w:link w:val="90"/>
    <w:qFormat/>
    <w:uiPriority w:val="0"/>
  </w:style>
  <w:style w:type="paragraph" w:customStyle="1" w:styleId="240">
    <w:name w:val="Revision"/>
    <w:hidden/>
    <w:unhideWhenUsed/>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BCCEF4DA094EE1A3EA89D73B495B65"/>
        <w:style w:val=""/>
        <w:category>
          <w:name w:val="常规"/>
          <w:gallery w:val="placeholder"/>
        </w:category>
        <w:types>
          <w:type w:val="bbPlcHdr"/>
        </w:types>
        <w:behaviors>
          <w:behavior w:val="content"/>
        </w:behaviors>
        <w:description w:val=""/>
        <w:guid w:val="{552B1F9D-C77A-45F1-BB4B-38F7FE20F93F}"/>
      </w:docPartPr>
      <w:docPartBody>
        <w:p>
          <w:pPr>
            <w:pStyle w:val="5"/>
          </w:pPr>
          <w:r>
            <w:rPr>
              <w:rStyle w:val="4"/>
              <w:rFonts w:hint="eastAsia"/>
            </w:rPr>
            <w:t>单击或点击此处输入文字。</w:t>
          </w:r>
        </w:p>
      </w:docPartBody>
    </w:docPart>
    <w:docPart>
      <w:docPartPr>
        <w:name w:val="8467A95ED8AA41BC97CDEF710B4C0341"/>
        <w:style w:val=""/>
        <w:category>
          <w:name w:val="常规"/>
          <w:gallery w:val="placeholder"/>
        </w:category>
        <w:types>
          <w:type w:val="bbPlcHdr"/>
        </w:types>
        <w:behaviors>
          <w:behavior w:val="content"/>
        </w:behaviors>
        <w:description w:val=""/>
        <w:guid w:val="{613CDF3F-036D-4771-95ED-6B0AF4A2720F}"/>
      </w:docPartPr>
      <w:docPartBody>
        <w:p>
          <w:pPr>
            <w:pStyle w:val="6"/>
          </w:pPr>
          <w:r>
            <w:rPr>
              <w:rStyle w:val="4"/>
              <w:rFonts w:hint="eastAsia"/>
            </w:rPr>
            <w:t>选择一项。</w:t>
          </w:r>
        </w:p>
      </w:docPartBody>
    </w:docPart>
    <w:docPart>
      <w:docPartPr>
        <w:name w:val="F7B519F888524541906C6B20F3C883B9"/>
        <w:style w:val=""/>
        <w:category>
          <w:name w:val="常规"/>
          <w:gallery w:val="placeholder"/>
        </w:category>
        <w:types>
          <w:type w:val="bbPlcHdr"/>
        </w:types>
        <w:behaviors>
          <w:behavior w:val="content"/>
        </w:behaviors>
        <w:description w:val=""/>
        <w:guid w:val="{97D3D829-3834-4781-8803-AF795E81E88C}"/>
      </w:docPartPr>
      <w:docPartBody>
        <w:p>
          <w:pPr>
            <w:pStyle w:val="7"/>
          </w:pPr>
          <w:r>
            <w:rPr>
              <w:rStyle w:val="4"/>
              <w:rFonts w:hint="eastAsia"/>
            </w:rPr>
            <w:t>选择一项。</w:t>
          </w:r>
        </w:p>
      </w:docPartBody>
    </w:docPart>
    <w:docPart>
      <w:docPartPr>
        <w:name w:val="{2db8f020-99a3-4ee6-a534-f215777cd69b}"/>
        <w:style w:val=""/>
        <w:category>
          <w:name w:val="常规"/>
          <w:gallery w:val="placeholder"/>
        </w:category>
        <w:types>
          <w:type w:val="bbPlcHdr"/>
        </w:types>
        <w:behaviors>
          <w:behavior w:val="content"/>
        </w:behaviors>
        <w:description w:val=""/>
        <w:guid w:val="{2DB8F020-99A3-4EE6-A534-F215777CD69B}"/>
      </w:docPartPr>
      <w:docPartBody>
        <w:p>
          <w:pPr>
            <w:pStyle w:val="8"/>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A7C"/>
    <w:rsid w:val="0020681F"/>
    <w:rsid w:val="002C48B2"/>
    <w:rsid w:val="00301337"/>
    <w:rsid w:val="00386C30"/>
    <w:rsid w:val="004F6BF9"/>
    <w:rsid w:val="005E5A7C"/>
    <w:rsid w:val="00622B47"/>
    <w:rsid w:val="00774AF5"/>
    <w:rsid w:val="00774EDF"/>
    <w:rsid w:val="00790BAA"/>
    <w:rsid w:val="00DC1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BCCEF4DA094EE1A3EA89D73B495B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467A95ED8AA41BC97CDEF710B4C03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7B519F888524541906C6B20F3C883B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AC187C64BFD947F0A320BB649EB9ADE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6B46F3-E22E-43A8-A2D3-5D641D1BF3A3}">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17</Pages>
  <Words>1821</Words>
  <Characters>10380</Characters>
  <Lines>86</Lines>
  <Paragraphs>24</Paragraphs>
  <TotalTime>3</TotalTime>
  <ScaleCrop>false</ScaleCrop>
  <LinksUpToDate>false</LinksUpToDate>
  <CharactersWithSpaces>12177</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2021-08-05T00:34:00Z</dcterms:created>
  <dc:creator>40545</dc:creator>
  <dc:description>&lt;config cover="true" show_menu="true" version="1.0.0" doctype="SDKXY"&gt;_x000d_
&lt;/config&gt;</dc:description>
  <cp:lastModifiedBy>cesirohs</cp:lastModifiedBy>
  <cp:lastPrinted>2021-02-02T08:22:00Z</cp:lastPrinted>
  <dcterms:modified xsi:type="dcterms:W3CDTF">2023-09-18T06:07:51Z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2052-11.8.2.12089</vt:lpwstr>
  </property>
  <property fmtid="{D5CDD505-2E9C-101B-9397-08002B2CF9AE}" pid="16" name="ICV">
    <vt:lpwstr>DC60621E9CBB4A278C7D9C2FD27DBA32</vt:lpwstr>
  </property>
</Properties>
</file>